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42DA5" w14:textId="77777777" w:rsidR="002F59C1" w:rsidRDefault="00260CF3">
      <w:pPr>
        <w:spacing w:after="0" w:line="259" w:lineRule="auto"/>
        <w:ind w:left="0" w:right="0" w:firstLine="0"/>
        <w:jc w:val="center"/>
      </w:pPr>
      <w:r>
        <w:rPr>
          <w:noProof/>
        </w:rPr>
        <w:drawing>
          <wp:inline distT="0" distB="0" distL="0" distR="0" wp14:anchorId="6814A187" wp14:editId="7A859AF2">
            <wp:extent cx="972184" cy="96329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972184" cy="963295"/>
                    </a:xfrm>
                    <a:prstGeom prst="rect">
                      <a:avLst/>
                    </a:prstGeom>
                  </pic:spPr>
                </pic:pic>
              </a:graphicData>
            </a:graphic>
          </wp:inline>
        </w:drawing>
      </w:r>
      <w:r>
        <w:t xml:space="preserve"> </w:t>
      </w:r>
    </w:p>
    <w:p w14:paraId="0C47D45B" w14:textId="77777777" w:rsidR="002F59C1" w:rsidRDefault="00260CF3">
      <w:pPr>
        <w:spacing w:after="0" w:line="259" w:lineRule="auto"/>
        <w:ind w:left="0" w:right="0" w:firstLine="0"/>
        <w:jc w:val="right"/>
      </w:pPr>
      <w:r>
        <w:t xml:space="preserve"> </w:t>
      </w:r>
    </w:p>
    <w:p w14:paraId="3AAA707D" w14:textId="77777777" w:rsidR="002F59C1" w:rsidRDefault="00260CF3">
      <w:pPr>
        <w:spacing w:after="5" w:line="250" w:lineRule="auto"/>
        <w:ind w:left="-5" w:right="0" w:hanging="10"/>
      </w:pPr>
      <w:r>
        <w:rPr>
          <w:u w:val="single" w:color="000000"/>
        </w:rPr>
        <w:t xml:space="preserve">Neutral Citation Number: [2020] EWCA </w:t>
      </w:r>
      <w:proofErr w:type="spellStart"/>
      <w:r>
        <w:rPr>
          <w:u w:val="single" w:color="000000"/>
        </w:rPr>
        <w:t>Civ</w:t>
      </w:r>
      <w:proofErr w:type="spellEnd"/>
      <w:r>
        <w:rPr>
          <w:u w:val="single" w:color="000000"/>
        </w:rPr>
        <w:t xml:space="preserve"> 861</w:t>
      </w:r>
      <w:r>
        <w:t xml:space="preserve"> </w:t>
      </w:r>
    </w:p>
    <w:p w14:paraId="37AA458D" w14:textId="77777777" w:rsidR="002F59C1" w:rsidRDefault="00260CF3">
      <w:pPr>
        <w:spacing w:after="12" w:line="259" w:lineRule="auto"/>
        <w:ind w:left="0" w:right="0" w:firstLine="0"/>
      </w:pPr>
      <w:r>
        <w:rPr>
          <w:sz w:val="20"/>
        </w:rPr>
        <w:t xml:space="preserve"> </w:t>
      </w:r>
    </w:p>
    <w:p w14:paraId="1A3AF968" w14:textId="77777777" w:rsidR="002F59C1" w:rsidRDefault="00260CF3">
      <w:pPr>
        <w:pStyle w:val="Heading1"/>
        <w:ind w:right="45"/>
      </w:pPr>
      <w:r>
        <w:t>Case No: C1/2019/0388</w:t>
      </w:r>
      <w:r>
        <w:rPr>
          <w:u w:val="none"/>
        </w:rPr>
        <w:t xml:space="preserve"> </w:t>
      </w:r>
      <w:r>
        <w:rPr>
          <w:b/>
          <w:u w:val="none"/>
        </w:rPr>
        <w:t xml:space="preserve"> </w:t>
      </w:r>
    </w:p>
    <w:p w14:paraId="637ED3AF" w14:textId="77777777" w:rsidR="002F59C1" w:rsidRDefault="00260CF3">
      <w:pPr>
        <w:spacing w:after="0" w:line="259" w:lineRule="auto"/>
        <w:ind w:left="0" w:right="0" w:firstLine="0"/>
      </w:pPr>
      <w:r>
        <w:rPr>
          <w:b/>
        </w:rPr>
        <w:t xml:space="preserve"> </w:t>
      </w:r>
    </w:p>
    <w:p w14:paraId="138BD6AA" w14:textId="77777777" w:rsidR="002F59C1" w:rsidRDefault="00260CF3">
      <w:pPr>
        <w:spacing w:after="5" w:line="250" w:lineRule="auto"/>
        <w:ind w:left="-5" w:right="3131" w:hanging="10"/>
      </w:pPr>
      <w:r>
        <w:rPr>
          <w:b/>
          <w:u w:val="single" w:color="000000"/>
        </w:rPr>
        <w:t>IN THE COURT OF APPEAL (CIVIL DIVISION)</w:t>
      </w:r>
      <w:r>
        <w:rPr>
          <w:b/>
        </w:rPr>
        <w:t xml:space="preserve"> </w:t>
      </w:r>
    </w:p>
    <w:p w14:paraId="76B6F56C" w14:textId="77777777" w:rsidR="002F59C1" w:rsidRDefault="00260CF3">
      <w:pPr>
        <w:spacing w:after="5" w:line="250" w:lineRule="auto"/>
        <w:ind w:left="-5" w:right="3131" w:hanging="10"/>
      </w:pPr>
      <w:r>
        <w:rPr>
          <w:b/>
          <w:u w:val="single" w:color="000000"/>
        </w:rPr>
        <w:t>ON APPEAL FROM THE ADMINISTRATIVE COURT</w:t>
      </w:r>
      <w:r>
        <w:rPr>
          <w:b/>
        </w:rPr>
        <w:t xml:space="preserve"> </w:t>
      </w:r>
    </w:p>
    <w:p w14:paraId="63F21CE1" w14:textId="77777777" w:rsidR="002F59C1" w:rsidRDefault="00260CF3">
      <w:pPr>
        <w:spacing w:after="5" w:line="250" w:lineRule="auto"/>
        <w:ind w:left="-5" w:right="3131" w:hanging="10"/>
      </w:pPr>
      <w:r>
        <w:rPr>
          <w:b/>
          <w:u w:val="single" w:color="000000"/>
        </w:rPr>
        <w:t>PLANNING COURT</w:t>
      </w:r>
      <w:r>
        <w:rPr>
          <w:b/>
        </w:rPr>
        <w:t xml:space="preserve"> </w:t>
      </w:r>
    </w:p>
    <w:p w14:paraId="5A4ACC43" w14:textId="77777777" w:rsidR="002F59C1" w:rsidRDefault="00260CF3">
      <w:pPr>
        <w:spacing w:after="5" w:line="250" w:lineRule="auto"/>
        <w:ind w:left="-5" w:right="3131" w:hanging="10"/>
      </w:pPr>
      <w:r>
        <w:rPr>
          <w:b/>
          <w:u w:val="single" w:color="000000"/>
        </w:rPr>
        <w:t>MR JUSTICE KERR</w:t>
      </w:r>
      <w:r>
        <w:rPr>
          <w:b/>
        </w:rPr>
        <w:t xml:space="preserve"> </w:t>
      </w:r>
    </w:p>
    <w:p w14:paraId="028B0F18" w14:textId="77777777" w:rsidR="002F59C1" w:rsidRDefault="00260CF3">
      <w:pPr>
        <w:spacing w:after="5" w:line="250" w:lineRule="auto"/>
        <w:ind w:left="-5" w:right="3131" w:hanging="10"/>
      </w:pPr>
      <w:r>
        <w:rPr>
          <w:b/>
          <w:u w:val="single" w:color="000000"/>
        </w:rPr>
        <w:t>[2019] EWHC 55 (Admin)</w:t>
      </w:r>
      <w:r>
        <w:rPr>
          <w:b/>
        </w:rPr>
        <w:t xml:space="preserve"> </w:t>
      </w:r>
    </w:p>
    <w:p w14:paraId="2BCEBCA6" w14:textId="77777777" w:rsidR="002F59C1" w:rsidRDefault="00260CF3">
      <w:pPr>
        <w:pStyle w:val="Heading1"/>
        <w:ind w:right="45"/>
      </w:pPr>
      <w:r>
        <w:t>Royal Courts of Justice</w:t>
      </w:r>
      <w:r>
        <w:rPr>
          <w:u w:val="none"/>
        </w:rPr>
        <w:t xml:space="preserve"> </w:t>
      </w:r>
      <w:r>
        <w:t>Strand, London, WC2A 2LL</w:t>
      </w:r>
      <w:r>
        <w:rPr>
          <w:u w:val="none"/>
        </w:rPr>
        <w:t xml:space="preserve"> </w:t>
      </w:r>
    </w:p>
    <w:p w14:paraId="3527F73C" w14:textId="77777777" w:rsidR="002F59C1" w:rsidRDefault="00260CF3">
      <w:pPr>
        <w:spacing w:after="0" w:line="259" w:lineRule="auto"/>
        <w:ind w:left="0" w:right="0" w:firstLine="0"/>
        <w:jc w:val="right"/>
      </w:pPr>
      <w:r>
        <w:t xml:space="preserve"> </w:t>
      </w:r>
    </w:p>
    <w:p w14:paraId="59449BDA" w14:textId="77777777" w:rsidR="002F59C1" w:rsidRDefault="00260CF3">
      <w:pPr>
        <w:spacing w:after="5" w:line="250" w:lineRule="auto"/>
        <w:ind w:left="4003" w:right="0" w:firstLine="3322"/>
      </w:pPr>
      <w:r>
        <w:rPr>
          <w:u w:val="single" w:color="000000"/>
        </w:rPr>
        <w:t xml:space="preserve">Date: 9 July </w:t>
      </w:r>
      <w:proofErr w:type="gramStart"/>
      <w:r>
        <w:rPr>
          <w:u w:val="single" w:color="000000"/>
        </w:rPr>
        <w:t>2020</w:t>
      </w:r>
      <w:r>
        <w:t xml:space="preserve"> </w:t>
      </w:r>
      <w:r>
        <w:rPr>
          <w:b/>
        </w:rPr>
        <w:t xml:space="preserve"> Before</w:t>
      </w:r>
      <w:proofErr w:type="gramEnd"/>
      <w:r>
        <w:rPr>
          <w:b/>
        </w:rPr>
        <w:t xml:space="preserve">: </w:t>
      </w:r>
    </w:p>
    <w:p w14:paraId="381BD8FB" w14:textId="77777777" w:rsidR="002F59C1" w:rsidRDefault="00260CF3">
      <w:pPr>
        <w:spacing w:after="0" w:line="259" w:lineRule="auto"/>
        <w:ind w:left="0" w:right="283" w:firstLine="0"/>
        <w:jc w:val="center"/>
      </w:pPr>
      <w:r>
        <w:t xml:space="preserve"> </w:t>
      </w:r>
    </w:p>
    <w:p w14:paraId="1F5FE668" w14:textId="77777777" w:rsidR="002F59C1" w:rsidRDefault="00260CF3">
      <w:pPr>
        <w:spacing w:after="0" w:line="259" w:lineRule="auto"/>
        <w:ind w:left="10" w:right="348" w:hanging="10"/>
        <w:jc w:val="center"/>
      </w:pPr>
      <w:r>
        <w:rPr>
          <w:b/>
          <w:u w:val="single" w:color="000000"/>
        </w:rPr>
        <w:t>Lady Justice Rafferty</w:t>
      </w:r>
      <w:r>
        <w:rPr>
          <w:b/>
        </w:rPr>
        <w:t xml:space="preserve"> </w:t>
      </w:r>
    </w:p>
    <w:p w14:paraId="3D16F9B9" w14:textId="77777777" w:rsidR="002F59C1" w:rsidRDefault="00260CF3">
      <w:pPr>
        <w:spacing w:after="5" w:line="250" w:lineRule="auto"/>
        <w:ind w:left="4181" w:right="3131" w:hanging="960"/>
      </w:pPr>
      <w:r>
        <w:rPr>
          <w:b/>
          <w:u w:val="single" w:color="000000"/>
        </w:rPr>
        <w:t>Lord Justice Lindblom</w:t>
      </w:r>
      <w:r>
        <w:rPr>
          <w:b/>
        </w:rPr>
        <w:t xml:space="preserve"> and </w:t>
      </w:r>
    </w:p>
    <w:p w14:paraId="35771529" w14:textId="77777777" w:rsidR="002F59C1" w:rsidRDefault="00260CF3">
      <w:pPr>
        <w:spacing w:after="0" w:line="259" w:lineRule="auto"/>
        <w:ind w:left="10" w:right="348" w:hanging="10"/>
        <w:jc w:val="center"/>
      </w:pPr>
      <w:r>
        <w:rPr>
          <w:b/>
          <w:u w:val="single" w:color="000000"/>
        </w:rPr>
        <w:t>Lord Justice Newey</w:t>
      </w:r>
      <w:r>
        <w:rPr>
          <w:b/>
        </w:rPr>
        <w:t xml:space="preserve"> </w:t>
      </w:r>
    </w:p>
    <w:p w14:paraId="34738F66" w14:textId="77777777" w:rsidR="002F59C1" w:rsidRDefault="00260CF3">
      <w:pPr>
        <w:spacing w:after="5" w:line="250" w:lineRule="auto"/>
        <w:ind w:left="100" w:right="152" w:hanging="10"/>
        <w:jc w:val="center"/>
      </w:pPr>
      <w:r>
        <w:t xml:space="preserve">- - - - - - - - - - - - - - - - - - - - - </w:t>
      </w:r>
    </w:p>
    <w:p w14:paraId="50511D29" w14:textId="77777777" w:rsidR="002F59C1" w:rsidRDefault="00260CF3">
      <w:pPr>
        <w:spacing w:after="15" w:line="249" w:lineRule="auto"/>
        <w:ind w:left="10" w:right="0" w:hanging="10"/>
      </w:pPr>
      <w:r>
        <w:rPr>
          <w:b/>
        </w:rPr>
        <w:t xml:space="preserve">                                                                     Between:                                               </w:t>
      </w:r>
    </w:p>
    <w:p w14:paraId="52D89751" w14:textId="77777777" w:rsidR="002F59C1" w:rsidRDefault="00260CF3">
      <w:pPr>
        <w:spacing w:after="7" w:line="259" w:lineRule="auto"/>
        <w:ind w:left="0" w:right="0" w:firstLine="0"/>
      </w:pPr>
      <w:r>
        <w:rPr>
          <w:b/>
        </w:rPr>
        <w:t xml:space="preserve"> </w:t>
      </w:r>
    </w:p>
    <w:p w14:paraId="5A31EE11" w14:textId="77777777" w:rsidR="002F59C1" w:rsidRDefault="00260CF3">
      <w:pPr>
        <w:spacing w:after="15" w:line="249" w:lineRule="auto"/>
        <w:ind w:left="2596" w:right="0" w:hanging="2467"/>
      </w:pPr>
      <w:r>
        <w:rPr>
          <w:b/>
        </w:rPr>
        <w:t xml:space="preserve"> </w:t>
      </w:r>
      <w:r>
        <w:rPr>
          <w:b/>
        </w:rPr>
        <w:tab/>
        <w:t xml:space="preserve">      R. (on the application of Liverpool Open and Green   </w:t>
      </w:r>
      <w:r>
        <w:rPr>
          <w:b/>
        </w:rPr>
        <w:tab/>
      </w:r>
      <w:r>
        <w:rPr>
          <w:b/>
          <w:u w:val="single" w:color="000000"/>
        </w:rPr>
        <w:t>Respondent</w:t>
      </w:r>
      <w:r>
        <w:rPr>
          <w:b/>
        </w:rPr>
        <w:t xml:space="preserve"> Spaces Community Interest Company) </w:t>
      </w:r>
    </w:p>
    <w:p w14:paraId="4886F4BE" w14:textId="77777777" w:rsidR="002F59C1" w:rsidRDefault="00260CF3">
      <w:pPr>
        <w:spacing w:after="0" w:line="259" w:lineRule="auto"/>
        <w:ind w:left="144" w:right="0" w:firstLine="0"/>
      </w:pPr>
      <w:r>
        <w:rPr>
          <w:b/>
        </w:rPr>
        <w:t xml:space="preserve"> </w:t>
      </w:r>
      <w:r>
        <w:rPr>
          <w:b/>
        </w:rPr>
        <w:tab/>
        <w:t xml:space="preserve"> </w:t>
      </w:r>
      <w:r>
        <w:rPr>
          <w:b/>
        </w:rPr>
        <w:tab/>
        <w:t xml:space="preserve"> </w:t>
      </w:r>
    </w:p>
    <w:p w14:paraId="7C67EC72" w14:textId="77777777" w:rsidR="002F59C1" w:rsidRDefault="00260CF3">
      <w:pPr>
        <w:numPr>
          <w:ilvl w:val="2"/>
          <w:numId w:val="2"/>
        </w:numPr>
        <w:spacing w:after="0" w:line="259" w:lineRule="auto"/>
        <w:ind w:left="2872" w:right="475" w:hanging="134"/>
        <w:jc w:val="center"/>
      </w:pPr>
      <w:r>
        <w:rPr>
          <w:b/>
        </w:rPr>
        <w:t xml:space="preserve">and - </w:t>
      </w:r>
    </w:p>
    <w:p w14:paraId="39E6BFEF" w14:textId="77777777" w:rsidR="002F59C1" w:rsidRDefault="00260CF3">
      <w:pPr>
        <w:spacing w:after="11" w:line="259" w:lineRule="auto"/>
        <w:ind w:left="0" w:right="312" w:firstLine="0"/>
        <w:jc w:val="center"/>
      </w:pPr>
      <w:r>
        <w:rPr>
          <w:b/>
        </w:rPr>
        <w:t xml:space="preserve"> </w:t>
      </w:r>
    </w:p>
    <w:p w14:paraId="645E0AAA" w14:textId="77777777" w:rsidR="002F59C1" w:rsidRDefault="00260CF3">
      <w:pPr>
        <w:tabs>
          <w:tab w:val="center" w:pos="4358"/>
          <w:tab w:val="center" w:pos="8183"/>
        </w:tabs>
        <w:spacing w:after="15" w:line="249" w:lineRule="auto"/>
        <w:ind w:left="0" w:right="0" w:firstLine="0"/>
      </w:pPr>
      <w:r>
        <w:rPr>
          <w:b/>
        </w:rPr>
        <w:t xml:space="preserve"> </w:t>
      </w:r>
      <w:r>
        <w:rPr>
          <w:b/>
        </w:rPr>
        <w:tab/>
      </w:r>
      <w:r>
        <w:rPr>
          <w:b/>
        </w:rPr>
        <w:t xml:space="preserve">Liverpool City Council </w:t>
      </w:r>
      <w:r>
        <w:rPr>
          <w:b/>
        </w:rPr>
        <w:tab/>
      </w:r>
      <w:r>
        <w:rPr>
          <w:b/>
          <w:u w:val="single" w:color="000000"/>
        </w:rPr>
        <w:t>Appellant</w:t>
      </w:r>
      <w:r>
        <w:rPr>
          <w:b/>
        </w:rPr>
        <w:t xml:space="preserve"> </w:t>
      </w:r>
    </w:p>
    <w:p w14:paraId="06CC099B" w14:textId="77777777" w:rsidR="002F59C1" w:rsidRDefault="00260CF3">
      <w:pPr>
        <w:spacing w:after="0" w:line="259" w:lineRule="auto"/>
        <w:ind w:left="144" w:right="0" w:firstLine="0"/>
      </w:pPr>
      <w:r>
        <w:rPr>
          <w:b/>
        </w:rPr>
        <w:t xml:space="preserve"> </w:t>
      </w:r>
      <w:r>
        <w:rPr>
          <w:b/>
        </w:rPr>
        <w:tab/>
        <w:t xml:space="preserve"> </w:t>
      </w:r>
      <w:r>
        <w:rPr>
          <w:b/>
        </w:rPr>
        <w:tab/>
        <w:t xml:space="preserve"> </w:t>
      </w:r>
    </w:p>
    <w:p w14:paraId="5C993DB9" w14:textId="77777777" w:rsidR="002F59C1" w:rsidRDefault="00260CF3">
      <w:pPr>
        <w:numPr>
          <w:ilvl w:val="2"/>
          <w:numId w:val="2"/>
        </w:numPr>
        <w:spacing w:after="0" w:line="259" w:lineRule="auto"/>
        <w:ind w:left="2872" w:right="475" w:hanging="134"/>
        <w:jc w:val="center"/>
      </w:pPr>
      <w:r>
        <w:rPr>
          <w:b/>
        </w:rPr>
        <w:t xml:space="preserve">and - </w:t>
      </w:r>
    </w:p>
    <w:p w14:paraId="7DE1C7CE" w14:textId="77777777" w:rsidR="002F59C1" w:rsidRDefault="00260CF3">
      <w:pPr>
        <w:spacing w:after="11" w:line="259" w:lineRule="auto"/>
        <w:ind w:left="0" w:right="312" w:firstLine="0"/>
        <w:jc w:val="center"/>
      </w:pPr>
      <w:r>
        <w:rPr>
          <w:b/>
        </w:rPr>
        <w:t xml:space="preserve"> </w:t>
      </w:r>
    </w:p>
    <w:p w14:paraId="59BB35BA" w14:textId="77777777" w:rsidR="002F59C1" w:rsidRDefault="00260CF3">
      <w:pPr>
        <w:numPr>
          <w:ilvl w:val="0"/>
          <w:numId w:val="1"/>
        </w:numPr>
        <w:spacing w:after="15" w:line="249" w:lineRule="auto"/>
        <w:ind w:right="0" w:hanging="384"/>
      </w:pPr>
      <w:r>
        <w:rPr>
          <w:b/>
        </w:rPr>
        <w:t xml:space="preserve">Redrow Homes Ltd. </w:t>
      </w:r>
      <w:r>
        <w:rPr>
          <w:b/>
        </w:rPr>
        <w:tab/>
      </w:r>
      <w:r>
        <w:rPr>
          <w:b/>
          <w:u w:val="single" w:color="000000"/>
        </w:rPr>
        <w:t>Interested</w:t>
      </w:r>
      <w:r>
        <w:rPr>
          <w:b/>
        </w:rPr>
        <w:t xml:space="preserve"> </w:t>
      </w:r>
    </w:p>
    <w:p w14:paraId="7E08FF34" w14:textId="77777777" w:rsidR="002F59C1" w:rsidRDefault="00260CF3">
      <w:pPr>
        <w:numPr>
          <w:ilvl w:val="0"/>
          <w:numId w:val="1"/>
        </w:numPr>
        <w:spacing w:after="15" w:line="249" w:lineRule="auto"/>
        <w:ind w:right="0" w:hanging="384"/>
      </w:pPr>
      <w:r>
        <w:rPr>
          <w:b/>
        </w:rPr>
        <w:t xml:space="preserve">Arthur Brooks (on behalf of the Merseyside Live </w:t>
      </w:r>
      <w:r>
        <w:rPr>
          <w:b/>
        </w:rPr>
        <w:tab/>
      </w:r>
      <w:r>
        <w:rPr>
          <w:b/>
          <w:u w:val="single" w:color="000000"/>
        </w:rPr>
        <w:t>Parties</w:t>
      </w:r>
      <w:r>
        <w:rPr>
          <w:b/>
        </w:rPr>
        <w:t xml:space="preserve"> </w:t>
      </w:r>
    </w:p>
    <w:p w14:paraId="3A33578A" w14:textId="77777777" w:rsidR="002F59C1" w:rsidRDefault="00260CF3">
      <w:pPr>
        <w:spacing w:after="0" w:line="259" w:lineRule="auto"/>
        <w:ind w:left="116" w:right="0" w:hanging="10"/>
        <w:jc w:val="center"/>
      </w:pPr>
      <w:r>
        <w:rPr>
          <w:b/>
        </w:rPr>
        <w:t xml:space="preserve">Steam and Model Engineers) </w:t>
      </w:r>
    </w:p>
    <w:p w14:paraId="5EB22777" w14:textId="77777777" w:rsidR="002F59C1" w:rsidRDefault="00260CF3">
      <w:pPr>
        <w:spacing w:after="0" w:line="259" w:lineRule="auto"/>
        <w:ind w:left="0" w:right="5" w:firstLine="0"/>
        <w:jc w:val="center"/>
      </w:pPr>
      <w:r>
        <w:t xml:space="preserve"> </w:t>
      </w:r>
    </w:p>
    <w:p w14:paraId="73A0F45E" w14:textId="77777777" w:rsidR="002F59C1" w:rsidRDefault="00260CF3">
      <w:pPr>
        <w:numPr>
          <w:ilvl w:val="1"/>
          <w:numId w:val="1"/>
        </w:numPr>
        <w:spacing w:after="5" w:line="250" w:lineRule="auto"/>
        <w:ind w:right="152" w:hanging="134"/>
        <w:jc w:val="center"/>
      </w:pPr>
      <w:r>
        <w:t xml:space="preserve">- - - - - - - - - - - - - - - - - - - - </w:t>
      </w:r>
    </w:p>
    <w:p w14:paraId="00CBA8D2" w14:textId="77777777" w:rsidR="002F59C1" w:rsidRDefault="00260CF3">
      <w:pPr>
        <w:spacing w:after="0" w:line="259" w:lineRule="auto"/>
        <w:ind w:left="0" w:right="5" w:firstLine="0"/>
        <w:jc w:val="center"/>
      </w:pPr>
      <w:r>
        <w:rPr>
          <w:b/>
        </w:rPr>
        <w:t xml:space="preserve"> </w:t>
      </w:r>
    </w:p>
    <w:p w14:paraId="20183EB5" w14:textId="77777777" w:rsidR="002F59C1" w:rsidRDefault="00260CF3">
      <w:pPr>
        <w:spacing w:after="15" w:line="249" w:lineRule="auto"/>
        <w:ind w:left="3225" w:right="0" w:hanging="3096"/>
      </w:pPr>
      <w:r>
        <w:rPr>
          <w:b/>
        </w:rPr>
        <w:t xml:space="preserve">Mr Paul Tucker Q.C. and Ms </w:t>
      </w:r>
      <w:proofErr w:type="spellStart"/>
      <w:r>
        <w:rPr>
          <w:b/>
        </w:rPr>
        <w:t>Constanze</w:t>
      </w:r>
      <w:proofErr w:type="spellEnd"/>
      <w:r>
        <w:rPr>
          <w:b/>
        </w:rPr>
        <w:t xml:space="preserve"> Bell</w:t>
      </w:r>
      <w:r>
        <w:t xml:space="preserve"> (instructed by </w:t>
      </w:r>
      <w:r>
        <w:rPr>
          <w:b/>
        </w:rPr>
        <w:t>Liverpool City Council Legal Services</w:t>
      </w:r>
      <w:r>
        <w:t xml:space="preserve">) for the </w:t>
      </w:r>
      <w:r>
        <w:rPr>
          <w:b/>
        </w:rPr>
        <w:t xml:space="preserve">Appellant  </w:t>
      </w:r>
    </w:p>
    <w:p w14:paraId="5D2A64FE" w14:textId="77777777" w:rsidR="002F59C1" w:rsidRDefault="00260CF3">
      <w:pPr>
        <w:spacing w:after="15" w:line="249" w:lineRule="auto"/>
        <w:ind w:left="3628" w:right="0" w:hanging="3499"/>
      </w:pPr>
      <w:r>
        <w:rPr>
          <w:b/>
        </w:rPr>
        <w:t xml:space="preserve">Mr Ned Westaway and Mr Charles </w:t>
      </w:r>
      <w:proofErr w:type="spellStart"/>
      <w:r>
        <w:rPr>
          <w:b/>
        </w:rPr>
        <w:t>Streeten</w:t>
      </w:r>
      <w:proofErr w:type="spellEnd"/>
      <w:r>
        <w:rPr>
          <w:b/>
        </w:rPr>
        <w:t xml:space="preserve"> </w:t>
      </w:r>
      <w:r>
        <w:t xml:space="preserve">(instructed by </w:t>
      </w:r>
      <w:r>
        <w:rPr>
          <w:b/>
        </w:rPr>
        <w:t>E. Rex Makin &amp; Co Solicitors</w:t>
      </w:r>
      <w:r>
        <w:t xml:space="preserve">) for the </w:t>
      </w:r>
      <w:r>
        <w:rPr>
          <w:b/>
        </w:rPr>
        <w:t>Respondent</w:t>
      </w:r>
      <w:r>
        <w:t xml:space="preserve"> </w:t>
      </w:r>
    </w:p>
    <w:p w14:paraId="3E71554E" w14:textId="77777777" w:rsidR="002F59C1" w:rsidRDefault="00260CF3">
      <w:pPr>
        <w:spacing w:after="0" w:line="259" w:lineRule="auto"/>
        <w:ind w:left="116" w:right="164" w:hanging="10"/>
        <w:jc w:val="center"/>
      </w:pPr>
      <w:r>
        <w:rPr>
          <w:b/>
        </w:rPr>
        <w:t>The Interested Parties did not appe</w:t>
      </w:r>
      <w:r>
        <w:rPr>
          <w:b/>
        </w:rPr>
        <w:t xml:space="preserve">ar and were not represented.  </w:t>
      </w:r>
    </w:p>
    <w:p w14:paraId="1CE25838" w14:textId="77777777" w:rsidR="002F59C1" w:rsidRDefault="00260CF3">
      <w:pPr>
        <w:spacing w:after="0" w:line="259" w:lineRule="auto"/>
        <w:ind w:left="0" w:right="5" w:firstLine="0"/>
        <w:jc w:val="center"/>
      </w:pPr>
      <w:r>
        <w:rPr>
          <w:b/>
        </w:rPr>
        <w:t xml:space="preserve"> </w:t>
      </w:r>
    </w:p>
    <w:p w14:paraId="325F2FBD" w14:textId="77777777" w:rsidR="002F59C1" w:rsidRDefault="00260CF3">
      <w:pPr>
        <w:spacing w:after="0" w:line="259" w:lineRule="auto"/>
        <w:ind w:left="0" w:right="5" w:firstLine="0"/>
        <w:jc w:val="center"/>
      </w:pPr>
      <w:r>
        <w:t xml:space="preserve"> </w:t>
      </w:r>
    </w:p>
    <w:p w14:paraId="08B745DF" w14:textId="77777777" w:rsidR="002F59C1" w:rsidRDefault="00260CF3">
      <w:pPr>
        <w:spacing w:after="0" w:line="259" w:lineRule="auto"/>
        <w:ind w:left="0" w:right="5" w:firstLine="0"/>
        <w:jc w:val="center"/>
      </w:pPr>
      <w:r>
        <w:t xml:space="preserve"> </w:t>
      </w:r>
    </w:p>
    <w:p w14:paraId="7A00382D" w14:textId="77777777" w:rsidR="002F59C1" w:rsidRDefault="00260CF3">
      <w:pPr>
        <w:spacing w:after="0" w:line="259" w:lineRule="auto"/>
        <w:ind w:left="0" w:right="5" w:firstLine="0"/>
        <w:jc w:val="center"/>
      </w:pPr>
      <w:r>
        <w:t xml:space="preserve"> </w:t>
      </w:r>
    </w:p>
    <w:p w14:paraId="75781114" w14:textId="77777777" w:rsidR="002F59C1" w:rsidRDefault="00260CF3">
      <w:pPr>
        <w:spacing w:after="0" w:line="259" w:lineRule="auto"/>
        <w:ind w:left="0" w:right="5" w:firstLine="0"/>
        <w:jc w:val="center"/>
      </w:pPr>
      <w:r>
        <w:t xml:space="preserve"> </w:t>
      </w:r>
    </w:p>
    <w:p w14:paraId="1A341A7D" w14:textId="77777777" w:rsidR="002F59C1" w:rsidRDefault="00260CF3">
      <w:pPr>
        <w:spacing w:after="122" w:line="259" w:lineRule="auto"/>
        <w:ind w:left="0" w:right="5" w:firstLine="0"/>
        <w:jc w:val="center"/>
      </w:pPr>
      <w:r>
        <w:t xml:space="preserve"> </w:t>
      </w:r>
    </w:p>
    <w:p w14:paraId="5BE8E861" w14:textId="77777777" w:rsidR="002F59C1" w:rsidRDefault="00260CF3">
      <w:pPr>
        <w:spacing w:after="0" w:line="259" w:lineRule="auto"/>
        <w:ind w:left="0" w:right="25" w:firstLine="0"/>
        <w:jc w:val="center"/>
      </w:pPr>
      <w:r>
        <w:rPr>
          <w:sz w:val="16"/>
        </w:rPr>
        <w:t xml:space="preserve"> </w:t>
      </w:r>
    </w:p>
    <w:p w14:paraId="1127A935" w14:textId="77777777" w:rsidR="002F59C1" w:rsidRDefault="00260CF3">
      <w:pPr>
        <w:spacing w:after="0" w:line="259" w:lineRule="auto"/>
        <w:ind w:left="0" w:right="5" w:firstLine="0"/>
        <w:jc w:val="center"/>
      </w:pPr>
      <w:r>
        <w:t xml:space="preserve"> </w:t>
      </w:r>
    </w:p>
    <w:p w14:paraId="3993132C" w14:textId="77777777" w:rsidR="002F59C1" w:rsidRDefault="00260CF3">
      <w:pPr>
        <w:spacing w:after="5" w:line="250" w:lineRule="auto"/>
        <w:ind w:left="100" w:right="155" w:hanging="10"/>
        <w:jc w:val="center"/>
      </w:pPr>
      <w:r>
        <w:t xml:space="preserve">Hearing date: 19 May 2020 </w:t>
      </w:r>
    </w:p>
    <w:p w14:paraId="5A534C4F" w14:textId="77777777" w:rsidR="002F59C1" w:rsidRDefault="00260CF3">
      <w:pPr>
        <w:spacing w:after="0" w:line="259" w:lineRule="auto"/>
        <w:ind w:left="0" w:right="5" w:firstLine="0"/>
        <w:jc w:val="center"/>
      </w:pPr>
      <w:r>
        <w:t xml:space="preserve"> </w:t>
      </w:r>
    </w:p>
    <w:p w14:paraId="48A35DEC" w14:textId="77777777" w:rsidR="002F59C1" w:rsidRDefault="00260CF3">
      <w:pPr>
        <w:numPr>
          <w:ilvl w:val="1"/>
          <w:numId w:val="1"/>
        </w:numPr>
        <w:spacing w:after="103" w:line="250" w:lineRule="auto"/>
        <w:ind w:right="152" w:hanging="134"/>
        <w:jc w:val="center"/>
      </w:pPr>
      <w:r>
        <w:t xml:space="preserve">- - - - - - - - - - - - - - - - - - - - </w:t>
      </w:r>
    </w:p>
    <w:p w14:paraId="3E56FDCD" w14:textId="77777777" w:rsidR="002F59C1" w:rsidRDefault="00260CF3">
      <w:pPr>
        <w:spacing w:after="0" w:line="259" w:lineRule="auto"/>
        <w:ind w:left="25" w:right="0" w:firstLine="0"/>
        <w:jc w:val="center"/>
      </w:pPr>
      <w:r>
        <w:rPr>
          <w:b/>
          <w:sz w:val="36"/>
        </w:rPr>
        <w:t xml:space="preserve"> </w:t>
      </w:r>
    </w:p>
    <w:p w14:paraId="2A537DDC" w14:textId="77777777" w:rsidR="002F59C1" w:rsidRDefault="00260CF3">
      <w:pPr>
        <w:spacing w:after="5" w:line="238" w:lineRule="auto"/>
        <w:ind w:left="1722" w:right="1698" w:firstLine="0"/>
        <w:jc w:val="center"/>
      </w:pPr>
      <w:r>
        <w:rPr>
          <w:b/>
          <w:sz w:val="36"/>
        </w:rPr>
        <w:t xml:space="preserve">Judgment Approved by the court for handing down </w:t>
      </w:r>
    </w:p>
    <w:p w14:paraId="60103956" w14:textId="77777777" w:rsidR="002F59C1" w:rsidRDefault="00260CF3">
      <w:pPr>
        <w:spacing w:after="0" w:line="259" w:lineRule="auto"/>
        <w:ind w:left="2049" w:right="0" w:firstLine="0"/>
      </w:pPr>
      <w:r>
        <w:rPr>
          <w:b/>
          <w:sz w:val="36"/>
        </w:rPr>
        <w:t xml:space="preserve">(subject to editorial corrections) </w:t>
      </w:r>
    </w:p>
    <w:p w14:paraId="69747EF7" w14:textId="77777777" w:rsidR="002F59C1" w:rsidRDefault="00260CF3">
      <w:pPr>
        <w:spacing w:after="0" w:line="259" w:lineRule="auto"/>
        <w:ind w:left="0" w:right="0" w:firstLine="0"/>
      </w:pPr>
      <w:r>
        <w:t xml:space="preserve"> </w:t>
      </w:r>
    </w:p>
    <w:p w14:paraId="3537CB0F" w14:textId="77777777" w:rsidR="002F59C1" w:rsidRDefault="00260CF3">
      <w:pPr>
        <w:spacing w:after="0" w:line="259" w:lineRule="auto"/>
        <w:ind w:left="0" w:right="0" w:firstLine="0"/>
      </w:pPr>
      <w:r>
        <w:t xml:space="preserve"> </w:t>
      </w:r>
    </w:p>
    <w:p w14:paraId="3875C58F" w14:textId="77777777" w:rsidR="002F59C1" w:rsidRDefault="00260CF3">
      <w:pPr>
        <w:spacing w:after="0" w:line="259" w:lineRule="auto"/>
        <w:ind w:left="0" w:right="0" w:firstLine="0"/>
      </w:pPr>
      <w:r>
        <w:t xml:space="preserve"> </w:t>
      </w:r>
    </w:p>
    <w:p w14:paraId="1928C0E4" w14:textId="77777777" w:rsidR="002F59C1" w:rsidRDefault="00260CF3">
      <w:pPr>
        <w:spacing w:after="10438"/>
        <w:ind w:left="0" w:right="6" w:firstLine="0"/>
      </w:pPr>
      <w:r>
        <w:t>Covid-19 Protocol: This judgment was handed down remotely by circulation to the parties’ representatives by email, release to BAILII and publication on the Courts and Tribunals Judiciary website. The date and time for hand-down is deemed to be 1630 on Thur</w:t>
      </w:r>
      <w:r>
        <w:t xml:space="preserve">sday, 9 July 2020. </w:t>
      </w:r>
    </w:p>
    <w:p w14:paraId="4B7C984F" w14:textId="77777777" w:rsidR="002F59C1" w:rsidRDefault="00260CF3">
      <w:pPr>
        <w:spacing w:after="0" w:line="259" w:lineRule="auto"/>
        <w:ind w:left="0" w:right="25" w:firstLine="0"/>
        <w:jc w:val="center"/>
      </w:pPr>
      <w:r>
        <w:rPr>
          <w:sz w:val="16"/>
        </w:rPr>
        <w:t xml:space="preserve"> </w:t>
      </w:r>
    </w:p>
    <w:p w14:paraId="05EBF25C" w14:textId="77777777" w:rsidR="002F59C1" w:rsidRDefault="002F59C1">
      <w:pPr>
        <w:sectPr w:rsidR="002F59C1">
          <w:headerReference w:type="even" r:id="rId8"/>
          <w:headerReference w:type="default" r:id="rId9"/>
          <w:headerReference w:type="first" r:id="rId10"/>
          <w:pgSz w:w="11909" w:h="16834"/>
          <w:pgMar w:top="720" w:right="1380" w:bottom="719" w:left="1440" w:header="720" w:footer="720" w:gutter="0"/>
          <w:cols w:space="720"/>
        </w:sectPr>
      </w:pPr>
    </w:p>
    <w:p w14:paraId="47BD56DD" w14:textId="77777777" w:rsidR="002F59C1" w:rsidRDefault="00260CF3">
      <w:pPr>
        <w:spacing w:after="0" w:line="259" w:lineRule="auto"/>
        <w:ind w:left="0" w:right="0" w:firstLine="0"/>
        <w:jc w:val="right"/>
      </w:pPr>
      <w:r>
        <w:rPr>
          <w:b/>
          <w:sz w:val="16"/>
          <w:u w:val="single" w:color="000000"/>
        </w:rPr>
        <w:t>Judgment Approved by the court for handing down</w:t>
      </w:r>
      <w:r>
        <w:rPr>
          <w:b/>
          <w:sz w:val="16"/>
        </w:rPr>
        <w:t xml:space="preserve"> </w:t>
      </w:r>
    </w:p>
    <w:p w14:paraId="45BA32E7" w14:textId="77777777" w:rsidR="002F59C1" w:rsidRDefault="00260CF3">
      <w:pPr>
        <w:spacing w:after="61" w:line="259" w:lineRule="auto"/>
        <w:ind w:left="533" w:right="0" w:firstLine="0"/>
      </w:pPr>
      <w:r>
        <w:rPr>
          <w:b/>
          <w:sz w:val="16"/>
          <w:u w:val="single" w:color="000000"/>
        </w:rPr>
        <w:t>(subject to editorial corrections)</w:t>
      </w:r>
      <w:r>
        <w:rPr>
          <w:b/>
          <w:sz w:val="16"/>
        </w:rPr>
        <w:t xml:space="preserve"> </w:t>
      </w:r>
    </w:p>
    <w:p w14:paraId="133FA0DC" w14:textId="77777777" w:rsidR="002F59C1" w:rsidRDefault="00260CF3">
      <w:pPr>
        <w:spacing w:after="67" w:line="259" w:lineRule="auto"/>
        <w:ind w:left="533" w:right="0" w:firstLine="0"/>
      </w:pPr>
      <w:r>
        <w:rPr>
          <w:rFonts w:ascii="Arial" w:eastAsia="Arial" w:hAnsi="Arial" w:cs="Arial"/>
        </w:rPr>
        <w:t xml:space="preserve"> </w:t>
      </w:r>
    </w:p>
    <w:p w14:paraId="0B0AE2B4" w14:textId="77777777" w:rsidR="002F59C1" w:rsidRDefault="00260CF3">
      <w:pPr>
        <w:spacing w:after="219" w:line="249" w:lineRule="auto"/>
        <w:ind w:left="399" w:right="0" w:hanging="10"/>
      </w:pPr>
      <w:r>
        <w:rPr>
          <w:b/>
        </w:rPr>
        <w:t>Lord Justice Lindblom:</w:t>
      </w:r>
    </w:p>
    <w:p w14:paraId="3BA7D182" w14:textId="77777777" w:rsidR="002F59C1" w:rsidRDefault="00260CF3">
      <w:pPr>
        <w:spacing w:after="0" w:line="259" w:lineRule="auto"/>
        <w:ind w:left="0" w:right="0" w:firstLine="0"/>
      </w:pPr>
      <w:r>
        <w:rPr>
          <w:i/>
        </w:rPr>
        <w:t xml:space="preserve"> </w:t>
      </w:r>
    </w:p>
    <w:p w14:paraId="301D31F5" w14:textId="77777777" w:rsidR="002F59C1" w:rsidRDefault="00260CF3">
      <w:pPr>
        <w:pStyle w:val="Heading2"/>
      </w:pPr>
      <w:r>
        <w:rPr>
          <w:i w:val="0"/>
        </w:rPr>
        <w:t xml:space="preserve">    </w:t>
      </w:r>
      <w:r>
        <w:t xml:space="preserve">  Introduction </w:t>
      </w:r>
    </w:p>
    <w:p w14:paraId="6B1253A6" w14:textId="77777777" w:rsidR="002F59C1" w:rsidRDefault="00260CF3">
      <w:pPr>
        <w:spacing w:after="0" w:line="259" w:lineRule="auto"/>
        <w:ind w:left="0" w:right="0" w:firstLine="0"/>
      </w:pPr>
      <w:r>
        <w:rPr>
          <w:i/>
        </w:rPr>
        <w:t xml:space="preserve"> </w:t>
      </w:r>
    </w:p>
    <w:p w14:paraId="39200ABB" w14:textId="77777777" w:rsidR="002F59C1" w:rsidRDefault="002F59C1">
      <w:pPr>
        <w:sectPr w:rsidR="002F59C1">
          <w:headerReference w:type="even" r:id="rId11"/>
          <w:headerReference w:type="default" r:id="rId12"/>
          <w:headerReference w:type="first" r:id="rId13"/>
          <w:pgSz w:w="11904" w:h="16838"/>
          <w:pgMar w:top="752" w:right="6936" w:bottom="708" w:left="907" w:header="720" w:footer="720" w:gutter="0"/>
          <w:cols w:space="720"/>
          <w:titlePg/>
        </w:sectPr>
      </w:pPr>
    </w:p>
    <w:p w14:paraId="1D48727D" w14:textId="77777777" w:rsidR="002F59C1" w:rsidRDefault="00260CF3">
      <w:pPr>
        <w:spacing w:after="0" w:line="239" w:lineRule="auto"/>
        <w:ind w:left="5" w:right="0" w:hanging="5"/>
      </w:pPr>
      <w:r>
        <w:rPr>
          <w:sz w:val="16"/>
        </w:rPr>
        <w:t xml:space="preserve">R. </w:t>
      </w:r>
      <w:r>
        <w:rPr>
          <w:sz w:val="16"/>
        </w:rPr>
        <w:t xml:space="preserve">(on the application of Liverpool Open and Green Spaces Community Interested Company) v Liverpool City Council </w:t>
      </w:r>
    </w:p>
    <w:p w14:paraId="7F5CF4FB" w14:textId="77777777" w:rsidR="002F59C1" w:rsidRDefault="002F59C1">
      <w:pPr>
        <w:sectPr w:rsidR="002F59C1">
          <w:type w:val="continuous"/>
          <w:pgSz w:w="11904" w:h="16838"/>
          <w:pgMar w:top="752" w:right="1430" w:bottom="708" w:left="6662" w:header="720" w:footer="720" w:gutter="0"/>
          <w:cols w:space="720"/>
        </w:sectPr>
      </w:pPr>
    </w:p>
    <w:p w14:paraId="2C2F3DA4" w14:textId="77777777" w:rsidR="002F59C1" w:rsidRDefault="00260CF3">
      <w:pPr>
        <w:numPr>
          <w:ilvl w:val="0"/>
          <w:numId w:val="3"/>
        </w:numPr>
        <w:ind w:right="3" w:hanging="331"/>
      </w:pPr>
      <w:r>
        <w:t>When a local planning authority granted planning permission for a development of housing in two listed buildings and on land with</w:t>
      </w:r>
      <w:r>
        <w:t>in their settings, did it misinterpret and misapply development plan policy for development proposed</w:t>
      </w:r>
      <w:r>
        <w:rPr>
          <w:b/>
        </w:rPr>
        <w:t xml:space="preserve"> </w:t>
      </w:r>
      <w:r>
        <w:t>within a Green Wedge? And did it fail to comply with the duty in section 66(1) of the Planning (Listed Buildings and Conservation Areas) Act 1990 (“the Lis</w:t>
      </w:r>
      <w:r>
        <w:t xml:space="preserve">ted Buildings Act”)? Those are the two central questions in this case. </w:t>
      </w:r>
    </w:p>
    <w:p w14:paraId="2B5C8B2E" w14:textId="77777777" w:rsidR="002F59C1" w:rsidRDefault="00260CF3">
      <w:pPr>
        <w:spacing w:after="0" w:line="259" w:lineRule="auto"/>
        <w:ind w:left="720" w:right="0" w:firstLine="0"/>
      </w:pPr>
      <w:r>
        <w:t xml:space="preserve"> </w:t>
      </w:r>
    </w:p>
    <w:p w14:paraId="18542BF2" w14:textId="77777777" w:rsidR="002F59C1" w:rsidRDefault="00260CF3">
      <w:pPr>
        <w:numPr>
          <w:ilvl w:val="0"/>
          <w:numId w:val="3"/>
        </w:numPr>
        <w:spacing w:after="5" w:line="250" w:lineRule="auto"/>
        <w:ind w:right="3" w:hanging="331"/>
      </w:pPr>
      <w:r>
        <w:t xml:space="preserve">The appellant, Liverpool City Council, appeals against the order of Kerr J. dated 4 February 2019, quashing two planning permissions granted by it for development on its own land. </w:t>
      </w:r>
    </w:p>
    <w:p w14:paraId="70269A49" w14:textId="77777777" w:rsidR="002F59C1" w:rsidRDefault="00260CF3">
      <w:pPr>
        <w:ind w:left="720" w:right="6" w:firstLine="0"/>
      </w:pPr>
      <w:r>
        <w:t>T</w:t>
      </w:r>
      <w:r>
        <w:t xml:space="preserve">he first proposal, in an application submitted by the first interested party, Redrow Homes </w:t>
      </w:r>
    </w:p>
    <w:p w14:paraId="13F9C547" w14:textId="77777777" w:rsidR="002F59C1" w:rsidRDefault="00260CF3">
      <w:pPr>
        <w:ind w:left="720" w:right="6" w:firstLine="0"/>
      </w:pPr>
      <w:r>
        <w:t xml:space="preserve">Ltd., was to demolish existing buildings and construct 39 dwellings on land at Harthill Road, adjoining Calderstones Park, and to convert </w:t>
      </w:r>
      <w:proofErr w:type="spellStart"/>
      <w:r>
        <w:t>Beechley</w:t>
      </w:r>
      <w:proofErr w:type="spellEnd"/>
      <w:r>
        <w:t xml:space="preserve"> House and </w:t>
      </w:r>
      <w:proofErr w:type="spellStart"/>
      <w:r>
        <w:t>Beechle</w:t>
      </w:r>
      <w:r>
        <w:t>y</w:t>
      </w:r>
      <w:proofErr w:type="spellEnd"/>
      <w:r>
        <w:t xml:space="preserve"> Stables – both grade II listed buildings – into 12 apartments. The site, of about five hectares, lies in the Calderstones/Woolton Green Wedge and an area of Green Space. It was occupied by a </w:t>
      </w:r>
    </w:p>
    <w:p w14:paraId="7011F7DA" w14:textId="77777777" w:rsidR="002F59C1" w:rsidRDefault="00260CF3">
      <w:pPr>
        <w:ind w:left="720" w:right="6" w:firstLine="0"/>
      </w:pPr>
      <w:r>
        <w:t>city council depot, a miniature railway, stabling for horses r</w:t>
      </w:r>
      <w:r>
        <w:t xml:space="preserve">idden by people with disabilities, and a facility for disabled children known as “Calder Kids”. Planning permission was granted on 9 January 2018. The second proposal, in an application submitted by the second interested party, Arthur Brooks, on behalf of </w:t>
      </w:r>
      <w:r>
        <w:t xml:space="preserve">Merseyside Live Steam and Model Engineers, was to relocate the miniature railway on land at </w:t>
      </w:r>
      <w:proofErr w:type="spellStart"/>
      <w:r>
        <w:t>Menlove</w:t>
      </w:r>
      <w:proofErr w:type="spellEnd"/>
      <w:r>
        <w:t xml:space="preserve"> </w:t>
      </w:r>
    </w:p>
    <w:p w14:paraId="7C5E55D6" w14:textId="77777777" w:rsidR="002F59C1" w:rsidRDefault="00260CF3">
      <w:pPr>
        <w:ind w:left="720" w:right="6" w:firstLine="0"/>
      </w:pPr>
      <w:r>
        <w:t>Avenue. Planning permission was granted on 10 August 2017. The respondent, Liverpool Open and Green Spaces Community Interest Company, whose objects are “[</w:t>
      </w:r>
      <w:r>
        <w:t xml:space="preserve">to] preserve; enhance and support the green and/or open spaces … of South Liverpool …”, was an objector to both proposals. It challenged the two planning permissions in separate claims for judicial review. </w:t>
      </w:r>
    </w:p>
    <w:p w14:paraId="4A0FE575" w14:textId="77777777" w:rsidR="002F59C1" w:rsidRDefault="00260CF3">
      <w:pPr>
        <w:spacing w:after="0" w:line="259" w:lineRule="auto"/>
        <w:ind w:left="720" w:right="0" w:firstLine="0"/>
      </w:pPr>
      <w:r>
        <w:t xml:space="preserve"> </w:t>
      </w:r>
    </w:p>
    <w:p w14:paraId="5EE296F0" w14:textId="77777777" w:rsidR="002F59C1" w:rsidRDefault="00260CF3">
      <w:pPr>
        <w:ind w:left="715" w:right="6"/>
      </w:pPr>
      <w:r>
        <w:t>3.</w:t>
      </w:r>
      <w:r>
        <w:rPr>
          <w:rFonts w:ascii="Arial" w:eastAsia="Arial" w:hAnsi="Arial" w:cs="Arial"/>
        </w:rPr>
        <w:t xml:space="preserve"> </w:t>
      </w:r>
      <w:r>
        <w:t xml:space="preserve">  The company’s challenge succeeded on two g</w:t>
      </w:r>
      <w:r>
        <w:t>rounds: that, in granting each of the two planning permissions, the city council had misinterpreted and misapplied the policy for development proposed</w:t>
      </w:r>
      <w:r>
        <w:rPr>
          <w:b/>
        </w:rPr>
        <w:t xml:space="preserve"> </w:t>
      </w:r>
      <w:r>
        <w:t xml:space="preserve">within a “Green Wedge” – saved Policy OE3 of the Liverpool Unitary Development Plan, adopted in November </w:t>
      </w:r>
      <w:r>
        <w:t xml:space="preserve">2002 (“the UDP”) – and that, in granting planning permission for Redrow’s proposed development, it had also failed to comply with the duty in section 66(1) of the Listed Buildings Act. The city council and Redrow both sought </w:t>
      </w:r>
      <w:proofErr w:type="gramStart"/>
      <w:r>
        <w:t>permission</w:t>
      </w:r>
      <w:proofErr w:type="gramEnd"/>
      <w:r>
        <w:t xml:space="preserve"> to appeal, which the</w:t>
      </w:r>
      <w:r>
        <w:t xml:space="preserve"> judge granted. On 25 March 2020, Redrow lodged a notice of discontinuance – effectively withdrawing its appeal. The city council, however, maintains its own appeal and seeks to have it determined. </w:t>
      </w:r>
    </w:p>
    <w:p w14:paraId="35C5626F" w14:textId="77777777" w:rsidR="002F59C1" w:rsidRDefault="00260CF3">
      <w:pPr>
        <w:spacing w:after="0" w:line="259" w:lineRule="auto"/>
        <w:ind w:left="0" w:right="0" w:firstLine="0"/>
      </w:pPr>
      <w:r>
        <w:t xml:space="preserve"> </w:t>
      </w:r>
    </w:p>
    <w:p w14:paraId="705E0FB7" w14:textId="77777777" w:rsidR="002F59C1" w:rsidRDefault="00260CF3">
      <w:pPr>
        <w:spacing w:after="0" w:line="259" w:lineRule="auto"/>
        <w:ind w:left="360" w:right="0" w:firstLine="0"/>
      </w:pPr>
      <w:r>
        <w:rPr>
          <w:i/>
        </w:rPr>
        <w:t xml:space="preserve"> </w:t>
      </w:r>
    </w:p>
    <w:p w14:paraId="638DE60D" w14:textId="77777777" w:rsidR="002F59C1" w:rsidRDefault="00260CF3">
      <w:pPr>
        <w:pStyle w:val="Heading2"/>
        <w:ind w:left="355"/>
      </w:pPr>
      <w:r>
        <w:t xml:space="preserve">The issues before us </w:t>
      </w:r>
    </w:p>
    <w:p w14:paraId="55BF6341" w14:textId="77777777" w:rsidR="002F59C1" w:rsidRDefault="00260CF3">
      <w:pPr>
        <w:spacing w:after="0" w:line="259" w:lineRule="auto"/>
        <w:ind w:left="360" w:right="0" w:firstLine="0"/>
      </w:pPr>
      <w:r>
        <w:rPr>
          <w:i/>
        </w:rPr>
        <w:t xml:space="preserve"> </w:t>
      </w:r>
    </w:p>
    <w:p w14:paraId="2A4F88FC" w14:textId="77777777" w:rsidR="002F59C1" w:rsidRDefault="00260CF3">
      <w:pPr>
        <w:numPr>
          <w:ilvl w:val="0"/>
          <w:numId w:val="4"/>
        </w:numPr>
        <w:spacing w:after="646"/>
        <w:ind w:right="6" w:hanging="360"/>
      </w:pPr>
      <w:r>
        <w:t>The two issues in the city council’s appeal correspond to those on which the judge allowed the claims. In a respondent’s notice the company raised a third, which concerned the status of the site as part of Calderstones Park, but that was not pursued before</w:t>
      </w:r>
      <w:r>
        <w:t xml:space="preserve"> us. However, there is now a prior question for us to decide. Given Redrow’s withdrawal, the company says the city council’s appeal is academic and should not be entertained. With the parties’ agreement, we heard full argument from either side, both on tha</w:t>
      </w:r>
      <w:r>
        <w:t>t question and also</w:t>
      </w:r>
      <w:r>
        <w:rPr>
          <w:b/>
        </w:rPr>
        <w:t xml:space="preserve"> </w:t>
      </w:r>
      <w:r>
        <w:t xml:space="preserve">on the issues in the appeal. </w:t>
      </w:r>
    </w:p>
    <w:p w14:paraId="4846F341" w14:textId="77777777" w:rsidR="002F59C1" w:rsidRDefault="00260CF3">
      <w:pPr>
        <w:spacing w:after="0" w:line="259" w:lineRule="auto"/>
        <w:ind w:left="533" w:right="0" w:firstLine="0"/>
      </w:pPr>
      <w:r>
        <w:rPr>
          <w:rFonts w:ascii="Arial" w:eastAsia="Arial" w:hAnsi="Arial" w:cs="Arial"/>
        </w:rPr>
        <w:t xml:space="preserve"> </w:t>
      </w:r>
    </w:p>
    <w:p w14:paraId="64EED7EE" w14:textId="77777777" w:rsidR="002F59C1" w:rsidRDefault="00260CF3">
      <w:pPr>
        <w:spacing w:after="0" w:line="259" w:lineRule="auto"/>
        <w:ind w:left="720" w:right="0" w:firstLine="0"/>
      </w:pPr>
      <w:r>
        <w:t xml:space="preserve"> </w:t>
      </w:r>
    </w:p>
    <w:p w14:paraId="39DEC511" w14:textId="77777777" w:rsidR="002F59C1" w:rsidRDefault="00260CF3">
      <w:pPr>
        <w:spacing w:after="0" w:line="259" w:lineRule="auto"/>
        <w:ind w:left="355" w:right="0" w:hanging="10"/>
      </w:pPr>
      <w:r>
        <w:rPr>
          <w:i/>
        </w:rPr>
        <w:t xml:space="preserve">Is the appeal academic? </w:t>
      </w:r>
    </w:p>
    <w:p w14:paraId="323ADD77" w14:textId="77777777" w:rsidR="002F59C1" w:rsidRDefault="00260CF3">
      <w:pPr>
        <w:spacing w:after="0" w:line="259" w:lineRule="auto"/>
        <w:ind w:left="360" w:right="0" w:firstLine="0"/>
      </w:pPr>
      <w:r>
        <w:rPr>
          <w:i/>
        </w:rPr>
        <w:t xml:space="preserve"> </w:t>
      </w:r>
    </w:p>
    <w:p w14:paraId="174EF23A" w14:textId="77777777" w:rsidR="002F59C1" w:rsidRDefault="00260CF3">
      <w:pPr>
        <w:numPr>
          <w:ilvl w:val="0"/>
          <w:numId w:val="4"/>
        </w:numPr>
        <w:ind w:right="6" w:hanging="360"/>
      </w:pPr>
      <w:r>
        <w:t>The city council maintains that neither of the planning permissions will be implemented, but also contends that in a wider context the appeal is not academic. At the hearing i</w:t>
      </w:r>
      <w:r>
        <w:t>t gave an undertaking to the court through its leading counsel, Mr Paul Tucker Q.C. – foreshadowed by correspondence between its Principal Solicitor (Regulatory) and the company’s solicitor – “that, in the event of this appeal succeeding so that [the permi</w:t>
      </w:r>
      <w:r>
        <w:t xml:space="preserve">ssion for the housing development] is reinstated, it will not commence any development under that permission or permit any other person from so doing [sic] insofar as that lies under its control”. This is intended to give effect to a statement made by the </w:t>
      </w:r>
      <w:r>
        <w:t xml:space="preserve">Mayor of Liverpool, Joe Anderson, published in the local press and online on 18 January 2019 and confirmed by him on BBC Radio Merseyside on 19 January 2019, that the housing scheme is “dead”. The undertaking does not satisfy the company, whose solicitor, </w:t>
      </w:r>
      <w:r>
        <w:t xml:space="preserve">in a letter to the city council dated 18 May 2020, says that “what is required is an undertaking that regardless of the outcome of the appeal the land is only to be used as it is currently or as a park”.  </w:t>
      </w:r>
    </w:p>
    <w:p w14:paraId="4AAF664C" w14:textId="77777777" w:rsidR="002F59C1" w:rsidRDefault="00260CF3">
      <w:pPr>
        <w:spacing w:after="0" w:line="259" w:lineRule="auto"/>
        <w:ind w:left="720" w:right="0" w:firstLine="0"/>
      </w:pPr>
      <w:r>
        <w:t xml:space="preserve"> </w:t>
      </w:r>
    </w:p>
    <w:p w14:paraId="45F45989" w14:textId="77777777" w:rsidR="002F59C1" w:rsidRDefault="00260CF3">
      <w:pPr>
        <w:numPr>
          <w:ilvl w:val="0"/>
          <w:numId w:val="4"/>
        </w:numPr>
        <w:ind w:right="6" w:hanging="360"/>
      </w:pPr>
      <w:r>
        <w:t xml:space="preserve">The relevant legal principles are clear. In </w:t>
      </w:r>
      <w:r>
        <w:rPr>
          <w:i/>
        </w:rPr>
        <w:t>R. v</w:t>
      </w:r>
      <w:r>
        <w:rPr>
          <w:i/>
        </w:rPr>
        <w:t xml:space="preserve"> Secretary of State for the Home Department, ex </w:t>
      </w:r>
      <w:proofErr w:type="spellStart"/>
      <w:r>
        <w:rPr>
          <w:i/>
        </w:rPr>
        <w:t>parte</w:t>
      </w:r>
      <w:proofErr w:type="spellEnd"/>
      <w:r>
        <w:rPr>
          <w:i/>
        </w:rPr>
        <w:t xml:space="preserve"> Salem</w:t>
      </w:r>
      <w:r>
        <w:t xml:space="preserve"> [1999] 1 A.C. 450, Lord </w:t>
      </w:r>
      <w:proofErr w:type="spellStart"/>
      <w:r>
        <w:t>Slynn</w:t>
      </w:r>
      <w:proofErr w:type="spellEnd"/>
      <w:r>
        <w:t xml:space="preserve"> said (at p.457A-B) that “… appeals which are academic … should not be heard unless there is a good reason in the public interest for doing so …”. In </w:t>
      </w:r>
      <w:r>
        <w:rPr>
          <w:i/>
        </w:rPr>
        <w:t xml:space="preserve">Hutcheson v </w:t>
      </w:r>
      <w:proofErr w:type="spellStart"/>
      <w:r>
        <w:rPr>
          <w:i/>
        </w:rPr>
        <w:t>Popdo</w:t>
      </w:r>
      <w:r>
        <w:rPr>
          <w:i/>
        </w:rPr>
        <w:t>g</w:t>
      </w:r>
      <w:proofErr w:type="spellEnd"/>
      <w:r>
        <w:rPr>
          <w:i/>
        </w:rPr>
        <w:t xml:space="preserve"> Ltd. (News Group Newspapers Ltd., third party) (Practice Note)</w:t>
      </w:r>
      <w:r>
        <w:t xml:space="preserve"> [2012] 1 W.L.R. 782, Lord Neuberger of Abbotsbury M.R. (at paragraph 15) identified “three requirements” that “have to be satisfied before an appeal, which is academic between the parties, ma</w:t>
      </w:r>
      <w:r>
        <w:t>y … be allowed to proceed: (</w:t>
      </w:r>
      <w:proofErr w:type="spellStart"/>
      <w:r>
        <w:t>i</w:t>
      </w:r>
      <w:proofErr w:type="spellEnd"/>
      <w:r>
        <w:t>) the court is satisfied that the appeal would raise a point of some general importance; (ii) the respondent to the appeal agrees to it proceeding, or is at least completely indemnified on costs and is not otherwise inappropria</w:t>
      </w:r>
      <w:r>
        <w:t xml:space="preserve">tely prejudiced; (iii) the court is satisfied that both sides of the argument will be fully and properly ventilated”. And in </w:t>
      </w:r>
      <w:proofErr w:type="spellStart"/>
      <w:r>
        <w:rPr>
          <w:i/>
        </w:rPr>
        <w:t>Hamnett</w:t>
      </w:r>
      <w:proofErr w:type="spellEnd"/>
      <w:r>
        <w:rPr>
          <w:i/>
        </w:rPr>
        <w:t xml:space="preserve"> v Essex County Council</w:t>
      </w:r>
      <w:r>
        <w:t xml:space="preserve"> [2017] 1 W.L.R. 1155, Gross L.J. (at paragraph 37) noted that the authorities did not suggest any “i</w:t>
      </w:r>
      <w:r>
        <w:t xml:space="preserve">nflexible rule”, but “point to the court having a narrow discretion to proceed, to be exercised with caution – even when a point of public law of some general importance is involved”.    </w:t>
      </w:r>
    </w:p>
    <w:p w14:paraId="4A1BB423" w14:textId="77777777" w:rsidR="002F59C1" w:rsidRDefault="00260CF3">
      <w:pPr>
        <w:spacing w:after="0" w:line="259" w:lineRule="auto"/>
        <w:ind w:left="720" w:right="0" w:firstLine="0"/>
      </w:pPr>
      <w:r>
        <w:t xml:space="preserve">    </w:t>
      </w:r>
    </w:p>
    <w:p w14:paraId="23DA749D" w14:textId="77777777" w:rsidR="002F59C1" w:rsidRDefault="00260CF3">
      <w:pPr>
        <w:numPr>
          <w:ilvl w:val="0"/>
          <w:numId w:val="4"/>
        </w:numPr>
        <w:ind w:right="6" w:hanging="360"/>
      </w:pPr>
      <w:r>
        <w:t xml:space="preserve">For the company, Mr Ned Westaway and Mr Charles </w:t>
      </w:r>
      <w:proofErr w:type="spellStart"/>
      <w:r>
        <w:t>Streeten</w:t>
      </w:r>
      <w:proofErr w:type="spellEnd"/>
      <w:r>
        <w:t xml:space="preserve"> submit</w:t>
      </w:r>
      <w:r>
        <w:t xml:space="preserve">ted that the requirements identified in </w:t>
      </w:r>
      <w:r>
        <w:rPr>
          <w:i/>
        </w:rPr>
        <w:t>Hutcheson</w:t>
      </w:r>
      <w:r>
        <w:t xml:space="preserve"> are not satisfied here. They contended that neither of the issues in the appeal raises any point of “general importance”. The company did not agree to the appeal proceeding. But the city council ought in an</w:t>
      </w:r>
      <w:r>
        <w:t xml:space="preserve">y event to pay its costs, and had not offered any indemnity. There was no dispute that both sides of the argument could be ventilated.        </w:t>
      </w:r>
    </w:p>
    <w:p w14:paraId="0EB872F8" w14:textId="77777777" w:rsidR="002F59C1" w:rsidRDefault="00260CF3">
      <w:pPr>
        <w:spacing w:after="0" w:line="259" w:lineRule="auto"/>
        <w:ind w:left="720" w:right="0" w:firstLine="0"/>
      </w:pPr>
      <w:r>
        <w:t xml:space="preserve"> </w:t>
      </w:r>
    </w:p>
    <w:p w14:paraId="551F55F4" w14:textId="77777777" w:rsidR="002F59C1" w:rsidRDefault="00260CF3">
      <w:pPr>
        <w:numPr>
          <w:ilvl w:val="0"/>
          <w:numId w:val="4"/>
        </w:numPr>
        <w:ind w:right="6" w:hanging="360"/>
      </w:pPr>
      <w:r>
        <w:t xml:space="preserve">Mr Tucker submitted that the requirements in </w:t>
      </w:r>
      <w:r>
        <w:rPr>
          <w:i/>
        </w:rPr>
        <w:t xml:space="preserve">Hutcheson </w:t>
      </w:r>
      <w:r>
        <w:t>can all be met in this case. In particular, this court’s</w:t>
      </w:r>
      <w:r>
        <w:t xml:space="preserve"> interpretation of Policy OE3 is of more general importance. It will influence many other decisions where the policy is engaged, and will have ramifications for decision-making by other authorities whose development plans contain policies for areas of Gree</w:t>
      </w:r>
      <w:r>
        <w:t>n Wedge or similar designation. The policy applies to large areas of land within the city. As of 5 May 2020,</w:t>
      </w:r>
      <w:r>
        <w:rPr>
          <w:b/>
        </w:rPr>
        <w:t xml:space="preserve"> </w:t>
      </w:r>
      <w:r>
        <w:t xml:space="preserve">it was relevant to six current proposals for sites in a Green Wedge – at Merseyside Police Sports Club, Riversdale Road; at </w:t>
      </w:r>
      <w:proofErr w:type="spellStart"/>
      <w:r>
        <w:t>Otterspool</w:t>
      </w:r>
      <w:proofErr w:type="spellEnd"/>
      <w:r>
        <w:t xml:space="preserve"> Promenade; a</w:t>
      </w:r>
      <w:r>
        <w:t xml:space="preserve">t Beechwood Road South; at Allerton Manor Golf Course; and at Woolton Road. </w:t>
      </w:r>
    </w:p>
    <w:p w14:paraId="2E3164E2" w14:textId="77777777" w:rsidR="002F59C1" w:rsidRDefault="00260CF3">
      <w:pPr>
        <w:ind w:left="720" w:right="6" w:firstLine="0"/>
      </w:pPr>
      <w:r>
        <w:t xml:space="preserve">Ascertaining what it means is in the wider public interest. At the moment, the city council is bound by Kerr J.’s interpretation, which it believes is mistaken (cf. the judgment of Dove </w:t>
      </w:r>
    </w:p>
    <w:p w14:paraId="37F7F384" w14:textId="77777777" w:rsidR="002F59C1" w:rsidRDefault="00260CF3">
      <w:pPr>
        <w:ind w:left="720" w:right="6" w:firstLine="0"/>
      </w:pPr>
      <w:r>
        <w:t xml:space="preserve">J. in </w:t>
      </w:r>
      <w:r>
        <w:rPr>
          <w:i/>
        </w:rPr>
        <w:t>R. (on the application of Tewkesbury Borough Council) v Secreta</w:t>
      </w:r>
      <w:r>
        <w:rPr>
          <w:i/>
        </w:rPr>
        <w:t>ry of State for Communities and Local Government</w:t>
      </w:r>
      <w:r>
        <w:t xml:space="preserve"> [2019] P.T.S.R. 2144 – where the disputed interpretation of policy was an inspector’s, not the court’s). Though the successor policy in the emerging local plan – draft Policy GI 2 of the Liverpool Local Plan</w:t>
      </w:r>
      <w:r>
        <w:t xml:space="preserve"> 2013-2033 </w:t>
      </w:r>
      <w:proofErr w:type="spellStart"/>
      <w:r>
        <w:t>Presubmission</w:t>
      </w:r>
      <w:proofErr w:type="spellEnd"/>
      <w:r>
        <w:t xml:space="preserve"> draft of January 2018 – is in different terms, its effect is similar. That </w:t>
      </w:r>
      <w:proofErr w:type="spellStart"/>
      <w:r>
        <w:t>planmaking</w:t>
      </w:r>
      <w:proofErr w:type="spellEnd"/>
      <w:r>
        <w:t xml:space="preserve"> process still has a long way to run, the public examination having been suspended. Policy OE3 of the UDP will therefore be extant for some time t</w:t>
      </w:r>
      <w:r>
        <w:t xml:space="preserve">o come. </w:t>
      </w:r>
    </w:p>
    <w:p w14:paraId="3E45D862" w14:textId="77777777" w:rsidR="002F59C1" w:rsidRDefault="00260CF3">
      <w:pPr>
        <w:spacing w:after="0" w:line="259" w:lineRule="auto"/>
        <w:ind w:left="720" w:right="0" w:firstLine="0"/>
      </w:pPr>
      <w:r>
        <w:t xml:space="preserve"> </w:t>
      </w:r>
    </w:p>
    <w:p w14:paraId="188B01BE" w14:textId="77777777" w:rsidR="002F59C1" w:rsidRDefault="00260CF3">
      <w:pPr>
        <w:numPr>
          <w:ilvl w:val="0"/>
          <w:numId w:val="4"/>
        </w:numPr>
        <w:ind w:right="6" w:hanging="360"/>
      </w:pPr>
      <w:r>
        <w:t xml:space="preserve">In my view Mr Tucker’s submissions have force. The question here is not whether the appeal is academic between the parties, as seems to be so. It is whether, applying the three requirements in </w:t>
      </w:r>
      <w:r>
        <w:rPr>
          <w:i/>
        </w:rPr>
        <w:t>Hutcheson</w:t>
      </w:r>
      <w:r>
        <w:t xml:space="preserve"> in this public law context, as in </w:t>
      </w:r>
      <w:proofErr w:type="spellStart"/>
      <w:r>
        <w:rPr>
          <w:i/>
        </w:rPr>
        <w:t>Hamnett</w:t>
      </w:r>
      <w:proofErr w:type="spellEnd"/>
      <w:r>
        <w:t>,</w:t>
      </w:r>
      <w:r>
        <w:t xml:space="preserve"> we should exercise our “narrow discretion” to hear an appeal said to have broader relevance and importance than to the case itself.  </w:t>
      </w:r>
    </w:p>
    <w:p w14:paraId="27CE9D35" w14:textId="77777777" w:rsidR="002F59C1" w:rsidRDefault="00260CF3">
      <w:pPr>
        <w:spacing w:after="0" w:line="259" w:lineRule="auto"/>
        <w:ind w:left="720" w:right="0" w:firstLine="0"/>
      </w:pPr>
      <w:r>
        <w:t xml:space="preserve"> </w:t>
      </w:r>
    </w:p>
    <w:p w14:paraId="3C71C329" w14:textId="77777777" w:rsidR="002F59C1" w:rsidRDefault="00260CF3">
      <w:pPr>
        <w:numPr>
          <w:ilvl w:val="0"/>
          <w:numId w:val="4"/>
        </w:numPr>
        <w:ind w:right="6" w:hanging="360"/>
      </w:pPr>
      <w:r>
        <w:t xml:space="preserve">The second and third requirements are both satisfied now, or can be. The company resists the appeal being entertained, </w:t>
      </w:r>
      <w:r>
        <w:t>but does not dispute that it can be suitably indemnified on costs, whatever the outcome. Nor can it say that its own interests are prejudiced in some other way. And there is no doubt that both sides of the argument can be “fully and properly ventilated”. T</w:t>
      </w:r>
      <w:r>
        <w:t xml:space="preserve">his has now happened. The appeal was thoroughly and impressively argued on either side.  </w:t>
      </w:r>
    </w:p>
    <w:p w14:paraId="7358CB9E" w14:textId="77777777" w:rsidR="002F59C1" w:rsidRDefault="00260CF3">
      <w:pPr>
        <w:spacing w:after="0" w:line="259" w:lineRule="auto"/>
        <w:ind w:left="720" w:right="0" w:firstLine="0"/>
      </w:pPr>
      <w:r>
        <w:t xml:space="preserve"> </w:t>
      </w:r>
    </w:p>
    <w:p w14:paraId="3088506E" w14:textId="77777777" w:rsidR="002F59C1" w:rsidRDefault="00260CF3">
      <w:pPr>
        <w:numPr>
          <w:ilvl w:val="0"/>
          <w:numId w:val="4"/>
        </w:numPr>
        <w:ind w:right="6" w:hanging="360"/>
      </w:pPr>
      <w:r>
        <w:t>As for the first requirement, as Mr Tucker conceded, there is no wider importance in the section 66(1) issue, which is already the subject of ample authority. But t</w:t>
      </w:r>
      <w:r>
        <w:t>he Policy OE3 issue is of a different kind. It is a question of policy interpretation, not previously considered, not confined to the particular circumstances of this case, but with significance across the city and potential consequences in other areas whe</w:t>
      </w:r>
      <w:r>
        <w:t>re similar policies are in place – though the precise form of such policies will differ. Policy OE3 covers large areas of land designated as Green Wedge, and is often applied in development control decisions. Is it as restrictive a policy as national and d</w:t>
      </w:r>
      <w:r>
        <w:t>evelopment plan policies for the Green Belt, or even more so? That is clearly a significant question in the planning of Liverpool. But it is also a point of some general importance, whose determination by this court is likely to be of benefit elsewhere. Th</w:t>
      </w:r>
      <w:r>
        <w:t>is is enough to support the conclusion that this appeal is not wholly academic, and, in the public interest, ought to be heard. It follows that the appeal as a whole, including the section 66(1) issue, must be entertained, because to succeed in overturning</w:t>
      </w:r>
      <w:r>
        <w:t xml:space="preserve"> that part of the judge’s order by which he quashed the planning permission for Redrow’s proposal, the city council has to win on both issues.  </w:t>
      </w:r>
    </w:p>
    <w:p w14:paraId="78825251" w14:textId="77777777" w:rsidR="002F59C1" w:rsidRDefault="00260CF3">
      <w:pPr>
        <w:spacing w:after="0" w:line="259" w:lineRule="auto"/>
        <w:ind w:left="1440" w:right="0" w:firstLine="0"/>
      </w:pPr>
      <w:r>
        <w:t xml:space="preserve"> </w:t>
      </w:r>
    </w:p>
    <w:p w14:paraId="3A9CDCC5" w14:textId="77777777" w:rsidR="002F59C1" w:rsidRDefault="00260CF3">
      <w:pPr>
        <w:spacing w:after="0" w:line="259" w:lineRule="auto"/>
        <w:ind w:left="360" w:right="0" w:firstLine="0"/>
      </w:pPr>
      <w:r>
        <w:rPr>
          <w:i/>
        </w:rPr>
        <w:t xml:space="preserve"> </w:t>
      </w:r>
    </w:p>
    <w:p w14:paraId="2ECE4869" w14:textId="77777777" w:rsidR="002F59C1" w:rsidRDefault="00260CF3">
      <w:pPr>
        <w:pStyle w:val="Heading2"/>
        <w:ind w:left="355"/>
      </w:pPr>
      <w:r>
        <w:t xml:space="preserve">The city council’s decisions </w:t>
      </w:r>
    </w:p>
    <w:p w14:paraId="3ABCABA0" w14:textId="77777777" w:rsidR="002F59C1" w:rsidRDefault="00260CF3">
      <w:pPr>
        <w:spacing w:after="0" w:line="259" w:lineRule="auto"/>
        <w:ind w:left="0" w:right="0" w:firstLine="0"/>
      </w:pPr>
      <w:r>
        <w:t xml:space="preserve"> </w:t>
      </w:r>
    </w:p>
    <w:p w14:paraId="7310FDE7" w14:textId="77777777" w:rsidR="002F59C1" w:rsidRDefault="00260CF3">
      <w:pPr>
        <w:numPr>
          <w:ilvl w:val="0"/>
          <w:numId w:val="5"/>
        </w:numPr>
        <w:ind w:right="6" w:hanging="360"/>
      </w:pPr>
      <w:r>
        <w:t>Calderstones Park was partly acquired by the Liverpool Corporation in 1914.</w:t>
      </w:r>
      <w:r>
        <w:t xml:space="preserve"> The land is now owned by the city council. It includes the site of Redrow’s proposal. The two listed buildings, </w:t>
      </w:r>
      <w:proofErr w:type="spellStart"/>
      <w:r>
        <w:t>Beechley</w:t>
      </w:r>
      <w:proofErr w:type="spellEnd"/>
      <w:r>
        <w:t xml:space="preserve"> House – a villa built in 1835, latterly a nursing home – and </w:t>
      </w:r>
      <w:proofErr w:type="spellStart"/>
      <w:r>
        <w:t>Beechley</w:t>
      </w:r>
      <w:proofErr w:type="spellEnd"/>
      <w:r>
        <w:t xml:space="preserve"> Stables, stand on its north-western side, next to the playing fi</w:t>
      </w:r>
      <w:r>
        <w:t xml:space="preserve">elds of Calderstones School. The entrance gateway and a ha-ha, about 30 metres to the south-east of the house, are also each listed at grade II. The miniature railway is a short distance to the north. </w:t>
      </w:r>
    </w:p>
    <w:p w14:paraId="6DE96C85" w14:textId="77777777" w:rsidR="002F59C1" w:rsidRDefault="00260CF3">
      <w:pPr>
        <w:spacing w:after="0" w:line="259" w:lineRule="auto"/>
        <w:ind w:left="720" w:right="0" w:firstLine="0"/>
      </w:pPr>
      <w:r>
        <w:t xml:space="preserve"> </w:t>
      </w:r>
    </w:p>
    <w:p w14:paraId="2EF50FD8" w14:textId="77777777" w:rsidR="002F59C1" w:rsidRDefault="00260CF3">
      <w:pPr>
        <w:numPr>
          <w:ilvl w:val="0"/>
          <w:numId w:val="5"/>
        </w:numPr>
        <w:ind w:right="6" w:hanging="360"/>
      </w:pPr>
      <w:r>
        <w:t>In February 2015, the city council and Redrow entere</w:t>
      </w:r>
      <w:r>
        <w:t>d into a partnership agreement for the proposed housing development. Redrow’s application for planning permission was submitted in August 2016. Together with three applications for listed building consent, it went before the city council’s Planning Committ</w:t>
      </w:r>
      <w:r>
        <w:t xml:space="preserve">ee on 14 February 2017.  </w:t>
      </w:r>
    </w:p>
    <w:p w14:paraId="0A6DB01B" w14:textId="77777777" w:rsidR="002F59C1" w:rsidRDefault="00260CF3">
      <w:pPr>
        <w:spacing w:after="0" w:line="259" w:lineRule="auto"/>
        <w:ind w:left="720" w:right="0" w:firstLine="0"/>
      </w:pPr>
      <w:r>
        <w:t xml:space="preserve"> </w:t>
      </w:r>
    </w:p>
    <w:p w14:paraId="2D09BF18" w14:textId="77777777" w:rsidR="002F59C1" w:rsidRDefault="00260CF3">
      <w:pPr>
        <w:numPr>
          <w:ilvl w:val="0"/>
          <w:numId w:val="5"/>
        </w:numPr>
        <w:ind w:right="6" w:hanging="360"/>
      </w:pPr>
      <w:r>
        <w:t>In a lengthy report, the Interim Head of Planning recommended that planning permission be granted, subject to conditions and a legal agreement. In its “Conclusion”, he said the proposal had “generated significant objection”, and this was “a finely balanced</w:t>
      </w:r>
      <w:r>
        <w:t xml:space="preserve"> application where any identified harm must be carefully weighed against the wider benefits that the proposal would bring”. He said that “[for] the reasons given earlier in this report, [he] considers that the scheme is, on balance, acceptable having regar</w:t>
      </w:r>
      <w:r>
        <w:t>d to the wider public/regeneration benefits that it would deliver”, and “… that matters relating to any identified impacts on openness/greenspace, highways, design, ecology, archaeology, trees and the amenity of nearby occupiers are acceptable, having rega</w:t>
      </w:r>
      <w:r>
        <w:t>rd to the impact on the wider Green Wedge, and having regard to the particular characteristics of this part of the Green Wedge”. He also said that “impacts on Heritage are considered to be outweighed by the public benefits identified within the report”. Fi</w:t>
      </w:r>
      <w:r>
        <w:t>nally, he confirmed that “[on] this basis, he [considered] the proposal accords with [National Planning Policy Framework (“NPPF”)] and the relevant development plan policies …”. He was referring there to the original NPPF, published by the Government in Ma</w:t>
      </w:r>
      <w:r>
        <w:t xml:space="preserve">rch 2012, which was extant at the time. I shall do the same.     </w:t>
      </w:r>
    </w:p>
    <w:p w14:paraId="69F4D9E7" w14:textId="77777777" w:rsidR="002F59C1" w:rsidRDefault="00260CF3">
      <w:pPr>
        <w:spacing w:after="0" w:line="259" w:lineRule="auto"/>
        <w:ind w:left="0" w:right="0" w:firstLine="0"/>
      </w:pPr>
      <w:r>
        <w:t xml:space="preserve"> </w:t>
      </w:r>
    </w:p>
    <w:p w14:paraId="7158591E" w14:textId="77777777" w:rsidR="002F59C1" w:rsidRDefault="00260CF3">
      <w:pPr>
        <w:numPr>
          <w:ilvl w:val="0"/>
          <w:numId w:val="5"/>
        </w:numPr>
        <w:ind w:right="6" w:hanging="360"/>
      </w:pPr>
      <w:r>
        <w:t>As the judge said (in paragraph 24 of his judgment), the minutes of the committee meeting record a “lively” debate, in which a “major area of dispute was whether the proposal would run counter to the policies in the UDP, in particular policies OE3 and OE11</w:t>
      </w:r>
      <w:r>
        <w:t xml:space="preserve">”. The committee resolved, however, to accept the officer’s recommendation. </w:t>
      </w:r>
    </w:p>
    <w:p w14:paraId="655FCACF" w14:textId="77777777" w:rsidR="002F59C1" w:rsidRDefault="00260CF3">
      <w:pPr>
        <w:spacing w:after="0" w:line="259" w:lineRule="auto"/>
        <w:ind w:left="720" w:right="0" w:firstLine="0"/>
      </w:pPr>
      <w:r>
        <w:t xml:space="preserve"> </w:t>
      </w:r>
    </w:p>
    <w:p w14:paraId="26F44B3B" w14:textId="77777777" w:rsidR="002F59C1" w:rsidRDefault="00260CF3">
      <w:pPr>
        <w:numPr>
          <w:ilvl w:val="0"/>
          <w:numId w:val="5"/>
        </w:numPr>
        <w:ind w:right="6" w:hanging="360"/>
      </w:pPr>
      <w:r>
        <w:t>The application for planning permission to relocate the miniature railway was submitted in January 2017. It was considered by the committee on 25 July 2017. Again, the members h</w:t>
      </w:r>
      <w:r>
        <w:t xml:space="preserve">ad before them a report recommending approval, and again they accepted that recommendation. </w:t>
      </w:r>
    </w:p>
    <w:p w14:paraId="04F6DCB8" w14:textId="77777777" w:rsidR="002F59C1" w:rsidRDefault="00260CF3">
      <w:pPr>
        <w:spacing w:after="0" w:line="259" w:lineRule="auto"/>
        <w:ind w:left="0" w:right="0" w:firstLine="0"/>
      </w:pPr>
      <w:r>
        <w:rPr>
          <w:i/>
        </w:rPr>
        <w:t xml:space="preserve"> </w:t>
      </w:r>
    </w:p>
    <w:p w14:paraId="0D7E40DC" w14:textId="77777777" w:rsidR="002F59C1" w:rsidRDefault="00260CF3">
      <w:pPr>
        <w:spacing w:after="0" w:line="259" w:lineRule="auto"/>
        <w:ind w:left="360" w:right="0" w:firstLine="0"/>
      </w:pPr>
      <w:r>
        <w:rPr>
          <w:i/>
        </w:rPr>
        <w:t xml:space="preserve"> </w:t>
      </w:r>
    </w:p>
    <w:p w14:paraId="3F8AEC5F" w14:textId="77777777" w:rsidR="002F59C1" w:rsidRDefault="00260CF3">
      <w:pPr>
        <w:spacing w:after="0" w:line="259" w:lineRule="auto"/>
        <w:ind w:left="355" w:right="0" w:hanging="10"/>
      </w:pPr>
      <w:r>
        <w:rPr>
          <w:i/>
        </w:rPr>
        <w:t>Did the city council misinterpret Policy OE3?</w:t>
      </w:r>
      <w:r>
        <w:t xml:space="preserve"> </w:t>
      </w:r>
    </w:p>
    <w:p w14:paraId="4F9AD80B" w14:textId="77777777" w:rsidR="002F59C1" w:rsidRDefault="00260CF3">
      <w:pPr>
        <w:spacing w:after="0" w:line="259" w:lineRule="auto"/>
        <w:ind w:left="360" w:right="0" w:firstLine="0"/>
      </w:pPr>
      <w:r>
        <w:t xml:space="preserve"> </w:t>
      </w:r>
    </w:p>
    <w:p w14:paraId="025F0E8B" w14:textId="77777777" w:rsidR="002F59C1" w:rsidRDefault="00260CF3">
      <w:pPr>
        <w:numPr>
          <w:ilvl w:val="0"/>
          <w:numId w:val="5"/>
        </w:numPr>
        <w:ind w:right="6" w:hanging="360"/>
      </w:pPr>
      <w:r>
        <w:t>In Chapter 5 of the UDP, “STRATEGIC OBJECTIVES &amp; POLICIES”, Policy GEN2, under the heading “OPEN ENVIRONMENT”,</w:t>
      </w:r>
      <w:r>
        <w:t xml:space="preserve"> says “[the] Plan aims to protect and enhance a network of open space throughout the City, with emphasis placed on the following … </w:t>
      </w:r>
      <w:proofErr w:type="spellStart"/>
      <w:r>
        <w:t>i</w:t>
      </w:r>
      <w:proofErr w:type="spellEnd"/>
      <w:r>
        <w:t>. protecting the City’s strategic open land (Green Belt and Green Wedges) from inappropriate development, … [and] vii. desig</w:t>
      </w:r>
      <w:r>
        <w:t xml:space="preserve">nating a hierarchy of public open space to ensure that there is a convenient and accessible network of quality open space for all residents of the City …”.  </w:t>
      </w:r>
    </w:p>
    <w:p w14:paraId="13BD973B" w14:textId="77777777" w:rsidR="002F59C1" w:rsidRDefault="00260CF3">
      <w:pPr>
        <w:spacing w:after="0" w:line="259" w:lineRule="auto"/>
        <w:ind w:left="720" w:right="0" w:firstLine="0"/>
      </w:pPr>
      <w:r>
        <w:t xml:space="preserve"> </w:t>
      </w:r>
    </w:p>
    <w:p w14:paraId="6B5F76C5" w14:textId="77777777" w:rsidR="002F59C1" w:rsidRDefault="00260CF3">
      <w:pPr>
        <w:numPr>
          <w:ilvl w:val="0"/>
          <w:numId w:val="5"/>
        </w:numPr>
        <w:ind w:right="6" w:hanging="360"/>
      </w:pPr>
      <w:r>
        <w:t>The supporting text for Policy GEN2 says that “Liverpool’s strategic open land/water comprises t</w:t>
      </w:r>
      <w:r>
        <w:t>he Green Belt, Green Wedges and Mersey Estuary Site of Special Scientific Interest/Special Protection Area/Ramsar Site”; that “[within] the former there will be a very strong presumption against built development”; and that “[built] development will also b</w:t>
      </w:r>
      <w:r>
        <w:t>e carefully controlled in the Green Wedges so as to maintain the physical and visual separation these strategic open areas provide between major residential communities” (paragraph 5.20). It identifies “[a] second category of open land”, on which “developm</w:t>
      </w:r>
      <w:r>
        <w:t>ent will be prevented that would harm the biological interest of the land”. It also refers to “[a] third category”, which “comprises recreational open space and greenspace”, and says “the Plan contains policies designed to maximise the recreational potenti</w:t>
      </w:r>
      <w:r>
        <w:t xml:space="preserve">al of this resource” (paragraph 5.21).   </w:t>
      </w:r>
    </w:p>
    <w:p w14:paraId="485C4739" w14:textId="77777777" w:rsidR="002F59C1" w:rsidRDefault="00260CF3">
      <w:pPr>
        <w:spacing w:after="0" w:line="259" w:lineRule="auto"/>
        <w:ind w:left="0" w:right="0" w:firstLine="0"/>
      </w:pPr>
      <w:r>
        <w:t xml:space="preserve"> </w:t>
      </w:r>
    </w:p>
    <w:p w14:paraId="17251FAA" w14:textId="77777777" w:rsidR="002F59C1" w:rsidRDefault="00260CF3">
      <w:pPr>
        <w:numPr>
          <w:ilvl w:val="0"/>
          <w:numId w:val="5"/>
        </w:numPr>
        <w:ind w:right="6" w:hanging="360"/>
      </w:pPr>
      <w:r>
        <w:t>Chapter 8 of the UDP contains policies for the “OPEN ENVIRONMENT”. Policy OE2, the policy for “DEVELOPMENT IN THE GREEN BELT”, states that “[within] the Green Belt, the City Council will not grant planning permis</w:t>
      </w:r>
      <w:r>
        <w:t>sion for the construction of new buildings, except in very special circumstances, other than for the purposes of … agriculture[,] forestry[,] outdoor sport and recreation[,] cemeteries[,] or essential facilities for other uses of land which preserve the op</w:t>
      </w:r>
      <w:r>
        <w:t>enness of the Green Belt and do not conflict with the purposes of including land within it”. It also says that “[the] reuse of buildings within the Green Belt will only be permitted where … the proposed use does not have a materially greater impact than th</w:t>
      </w:r>
      <w:r>
        <w:t>e present use on the openness of the Green Belt and the purposes of including land within it …”, and that “[proposals] for the extension of both existing and reused buildings … should not conflict with the openness of the Green Belt and the purposes of inc</w:t>
      </w:r>
      <w:r>
        <w:t>luding land within it …”. As the supporting text confirms, the policy corresponded to national policy for the Green Belt in Planning Policy Guidance Note 2, current at the time of the adoption of the UDP. So, “[apart] from a limited number of uses which ar</w:t>
      </w:r>
      <w:r>
        <w:t>e, in principle, appropriate to a Green Belt location, no other development … will be allowed or supported unless the City Council can be persuaded that there are very special circumstances which offer overriding reasons why the development is essential an</w:t>
      </w:r>
      <w:r>
        <w:t xml:space="preserve">d could not be located in the urban area” (paragraph 8.16). </w:t>
      </w:r>
    </w:p>
    <w:p w14:paraId="063C7AF4" w14:textId="77777777" w:rsidR="002F59C1" w:rsidRDefault="00260CF3">
      <w:pPr>
        <w:spacing w:after="0" w:line="259" w:lineRule="auto"/>
        <w:ind w:left="720" w:right="0" w:firstLine="0"/>
      </w:pPr>
      <w:r>
        <w:t xml:space="preserve"> </w:t>
      </w:r>
    </w:p>
    <w:p w14:paraId="59458CF9" w14:textId="77777777" w:rsidR="002F59C1" w:rsidRDefault="00260CF3">
      <w:pPr>
        <w:numPr>
          <w:ilvl w:val="0"/>
          <w:numId w:val="5"/>
        </w:numPr>
        <w:ind w:right="6" w:hanging="360"/>
      </w:pPr>
      <w:r>
        <w:t xml:space="preserve">Policy OE3, under the heading “GREEN WEDGES”, states: </w:t>
      </w:r>
    </w:p>
    <w:p w14:paraId="5C3E1E59" w14:textId="77777777" w:rsidR="002F59C1" w:rsidRDefault="00260CF3">
      <w:pPr>
        <w:spacing w:after="0" w:line="259" w:lineRule="auto"/>
        <w:ind w:left="720" w:right="0" w:firstLine="0"/>
      </w:pPr>
      <w:r>
        <w:t xml:space="preserve"> </w:t>
      </w:r>
    </w:p>
    <w:p w14:paraId="561F19C4" w14:textId="77777777" w:rsidR="002F59C1" w:rsidRDefault="00260CF3">
      <w:pPr>
        <w:ind w:left="1440" w:right="6" w:firstLine="0"/>
      </w:pPr>
      <w:r>
        <w:t xml:space="preserve">“The City Council will protect and improve the open character, landscape, recreational and ecological quality of the Green Wedges at Calderstones/Woolton and </w:t>
      </w:r>
      <w:proofErr w:type="spellStart"/>
      <w:r>
        <w:t>Otterspool</w:t>
      </w:r>
      <w:proofErr w:type="spellEnd"/>
      <w:r>
        <w:t xml:space="preserve"> by: </w:t>
      </w:r>
    </w:p>
    <w:p w14:paraId="022C6174" w14:textId="77777777" w:rsidR="002F59C1" w:rsidRDefault="00260CF3">
      <w:pPr>
        <w:spacing w:after="0" w:line="259" w:lineRule="auto"/>
        <w:ind w:left="1440" w:right="0" w:firstLine="0"/>
      </w:pPr>
      <w:r>
        <w:t xml:space="preserve"> </w:t>
      </w:r>
    </w:p>
    <w:p w14:paraId="7BA34C2B" w14:textId="77777777" w:rsidR="002F59C1" w:rsidRDefault="00260CF3">
      <w:pPr>
        <w:numPr>
          <w:ilvl w:val="1"/>
          <w:numId w:val="5"/>
        </w:numPr>
        <w:ind w:right="6" w:hanging="317"/>
      </w:pPr>
      <w:r>
        <w:t>not granting planning permission for proposals for new development that would af</w:t>
      </w:r>
      <w:r>
        <w:t xml:space="preserve">fect the predominantly open character of the Green Wedges or reduce the physical separation between existing built up areas; </w:t>
      </w:r>
    </w:p>
    <w:p w14:paraId="42AE1432" w14:textId="77777777" w:rsidR="002F59C1" w:rsidRDefault="00260CF3">
      <w:pPr>
        <w:spacing w:after="0" w:line="259" w:lineRule="auto"/>
        <w:ind w:left="1560" w:right="0" w:firstLine="0"/>
      </w:pPr>
      <w:r>
        <w:t xml:space="preserve"> </w:t>
      </w:r>
    </w:p>
    <w:p w14:paraId="2B499569" w14:textId="77777777" w:rsidR="002F59C1" w:rsidRDefault="00260CF3">
      <w:pPr>
        <w:numPr>
          <w:ilvl w:val="1"/>
          <w:numId w:val="5"/>
        </w:numPr>
        <w:ind w:right="6" w:hanging="317"/>
      </w:pPr>
      <w:r>
        <w:t xml:space="preserve">requiring that, where new built development is permitted (including conversion or extension) such development: </w:t>
      </w:r>
    </w:p>
    <w:p w14:paraId="40F5AF6B" w14:textId="77777777" w:rsidR="002F59C1" w:rsidRDefault="00260CF3">
      <w:pPr>
        <w:numPr>
          <w:ilvl w:val="2"/>
          <w:numId w:val="5"/>
        </w:numPr>
        <w:ind w:left="2553" w:right="6" w:hanging="283"/>
      </w:pPr>
      <w:r>
        <w:t>has regard to th</w:t>
      </w:r>
      <w:r>
        <w:t xml:space="preserve">e openness of the Green Wedge and the purposes of including land within it; </w:t>
      </w:r>
    </w:p>
    <w:p w14:paraId="2C576048" w14:textId="77777777" w:rsidR="002F59C1" w:rsidRDefault="00260CF3">
      <w:pPr>
        <w:numPr>
          <w:ilvl w:val="2"/>
          <w:numId w:val="5"/>
        </w:numPr>
        <w:ind w:left="2553" w:right="6" w:hanging="283"/>
      </w:pPr>
      <w:r>
        <w:t>should be in accordance with the criteria set down in policy HD18 [which sets criteria for “a high quality of design”] and, in particular, uses materials and built forms sympathet</w:t>
      </w:r>
      <w:r>
        <w:t xml:space="preserve">ic to the character of the area; </w:t>
      </w:r>
    </w:p>
    <w:p w14:paraId="2F157DC7" w14:textId="77777777" w:rsidR="002F59C1" w:rsidRDefault="00260CF3">
      <w:pPr>
        <w:numPr>
          <w:ilvl w:val="2"/>
          <w:numId w:val="5"/>
        </w:numPr>
        <w:ind w:left="2553" w:right="6" w:hanging="283"/>
      </w:pPr>
      <w:r>
        <w:t xml:space="preserve">retains existing vegetation and special site features where appropriate; and </w:t>
      </w:r>
    </w:p>
    <w:p w14:paraId="66870A0A" w14:textId="77777777" w:rsidR="002F59C1" w:rsidRDefault="00260CF3">
      <w:pPr>
        <w:numPr>
          <w:ilvl w:val="2"/>
          <w:numId w:val="5"/>
        </w:numPr>
        <w:ind w:left="2553" w:right="6" w:hanging="283"/>
      </w:pPr>
      <w:r>
        <w:t xml:space="preserve">provides and maintains a high standard of landscaping </w:t>
      </w:r>
    </w:p>
    <w:p w14:paraId="65991E29" w14:textId="77777777" w:rsidR="002F59C1" w:rsidRDefault="00260CF3">
      <w:pPr>
        <w:spacing w:after="0" w:line="259" w:lineRule="auto"/>
        <w:ind w:left="2554" w:right="0" w:firstLine="0"/>
      </w:pPr>
      <w:r>
        <w:t xml:space="preserve"> </w:t>
      </w:r>
    </w:p>
    <w:p w14:paraId="3E2706C0" w14:textId="77777777" w:rsidR="002F59C1" w:rsidRDefault="00260CF3">
      <w:pPr>
        <w:numPr>
          <w:ilvl w:val="1"/>
          <w:numId w:val="5"/>
        </w:numPr>
        <w:ind w:right="6" w:hanging="317"/>
      </w:pPr>
      <w:r>
        <w:t xml:space="preserve">retaining its own land in predominantly open use and supporting proposals which would: </w:t>
      </w:r>
    </w:p>
    <w:p w14:paraId="7A3AD740" w14:textId="77777777" w:rsidR="002F59C1" w:rsidRDefault="00260CF3">
      <w:pPr>
        <w:numPr>
          <w:ilvl w:val="2"/>
          <w:numId w:val="5"/>
        </w:numPr>
        <w:ind w:left="2553" w:right="6" w:hanging="283"/>
      </w:pPr>
      <w:r>
        <w:t xml:space="preserve">enhance tree cover by the retention of existing trees and replacement of older trees where necessary; </w:t>
      </w:r>
    </w:p>
    <w:p w14:paraId="3E60BAD8" w14:textId="77777777" w:rsidR="002F59C1" w:rsidRDefault="00260CF3">
      <w:pPr>
        <w:numPr>
          <w:ilvl w:val="2"/>
          <w:numId w:val="5"/>
        </w:numPr>
        <w:ind w:left="2553" w:right="6" w:hanging="283"/>
      </w:pPr>
      <w:r>
        <w:t xml:space="preserve">enhance the recreational role of the Green Wedges; or </w:t>
      </w:r>
    </w:p>
    <w:p w14:paraId="1FECCF68" w14:textId="77777777" w:rsidR="002F59C1" w:rsidRDefault="00260CF3">
      <w:pPr>
        <w:numPr>
          <w:ilvl w:val="2"/>
          <w:numId w:val="5"/>
        </w:numPr>
        <w:ind w:left="2553" w:right="6" w:hanging="283"/>
      </w:pPr>
      <w:r>
        <w:t xml:space="preserve">offer uses and activities which accord with their open character, particularly those that secure </w:t>
      </w:r>
      <w:r>
        <w:t xml:space="preserve">the continued use of sports grounds surplus to the owner’s requirements, for open space purposes.” </w:t>
      </w:r>
    </w:p>
    <w:p w14:paraId="5ADD8193" w14:textId="77777777" w:rsidR="002F59C1" w:rsidRDefault="00260CF3">
      <w:pPr>
        <w:spacing w:after="0" w:line="259" w:lineRule="auto"/>
        <w:ind w:left="720" w:right="0" w:firstLine="0"/>
      </w:pPr>
      <w:r>
        <w:t xml:space="preserve"> </w:t>
      </w:r>
    </w:p>
    <w:p w14:paraId="7EC0D876" w14:textId="77777777" w:rsidR="002F59C1" w:rsidRDefault="00260CF3">
      <w:pPr>
        <w:numPr>
          <w:ilvl w:val="0"/>
          <w:numId w:val="5"/>
        </w:numPr>
        <w:ind w:right="6" w:hanging="360"/>
      </w:pPr>
      <w:r>
        <w:t>The supporting text for Policy OE3, under the heading “The Function of Green Wedges”, says the policy “is designed to protect extensive linked areas of open spaces of City-wide importance”. The two Green Wedges “form the strategic open land in the City” an</w:t>
      </w:r>
      <w:r>
        <w:t>d “provide a physical and visual break between major residential areas, and help to ensure that the City can continue to offer high quality environments in these areas” (paragraph 8.24). They “also provide other important City-wide functions …” – in that t</w:t>
      </w:r>
      <w:r>
        <w:t xml:space="preserve">hey “afford a valuable amenity for a large number of people”, “provide diverse recreational facilities …”, </w:t>
      </w:r>
    </w:p>
    <w:p w14:paraId="473D34EE" w14:textId="77777777" w:rsidR="002F59C1" w:rsidRDefault="00260CF3">
      <w:pPr>
        <w:ind w:left="720" w:right="6" w:firstLine="0"/>
      </w:pPr>
      <w:r>
        <w:t xml:space="preserve">“provide a mature ecological environment …”, “contain buildings of historical, architectural and educational interest”, and “give the appearance of </w:t>
      </w:r>
      <w:r>
        <w:t>a ‘parkway’ approach to the City along particular transport routes” (paragraph 8.25). They “represent a unique and irreplaceable asset within the overall structure of the City”. The city council “is determined to protect and conserve [their] natural charac</w:t>
      </w:r>
      <w:r>
        <w:t xml:space="preserve">ter … and to maintain their integrity as predominantly open land against the encroachment of new development” (paragraph 8.26).  </w:t>
      </w:r>
    </w:p>
    <w:p w14:paraId="1224774A" w14:textId="77777777" w:rsidR="002F59C1" w:rsidRDefault="00260CF3">
      <w:pPr>
        <w:spacing w:after="0" w:line="259" w:lineRule="auto"/>
        <w:ind w:left="720" w:right="0" w:firstLine="0"/>
      </w:pPr>
      <w:r>
        <w:t xml:space="preserve"> </w:t>
      </w:r>
    </w:p>
    <w:p w14:paraId="1C0109C8" w14:textId="77777777" w:rsidR="002F59C1" w:rsidRDefault="00260CF3">
      <w:pPr>
        <w:numPr>
          <w:ilvl w:val="0"/>
          <w:numId w:val="5"/>
        </w:numPr>
        <w:ind w:right="6" w:hanging="360"/>
      </w:pPr>
      <w:r>
        <w:t>In a passage headed “Development within a Green Wedge”, the text says that “[strict] control of development is required to p</w:t>
      </w:r>
      <w:r>
        <w:t>rotect the function of Green Wedges”, and “[where] new built development is permitted, the City Council will expect a high standard of design and require the development to meet the criteria in part (ii) of policy OE3”. The fact that land has been “allowed</w:t>
      </w:r>
      <w:r>
        <w:t xml:space="preserve"> to become derelict or is underused will not be regarded as sufficient reason for permitting inappropriate development” (paragraph 8.27). The </w:t>
      </w:r>
    </w:p>
    <w:p w14:paraId="6EE10476" w14:textId="77777777" w:rsidR="002F59C1" w:rsidRDefault="00260CF3">
      <w:pPr>
        <w:ind w:left="720" w:right="6" w:firstLine="0"/>
      </w:pPr>
      <w:r>
        <w:t>“Calderstones/Woolton Green Wedge” is described as “an area of special value, with the appearance and condition o</w:t>
      </w:r>
      <w:r>
        <w:t xml:space="preserve">f the landscape being of particular importance”, and “consists of 300 hectares of open land within Liverpool’s southern suburbs” (paragraph 8.29). </w:t>
      </w:r>
    </w:p>
    <w:p w14:paraId="497515A8" w14:textId="77777777" w:rsidR="002F59C1" w:rsidRDefault="00260CF3">
      <w:pPr>
        <w:spacing w:after="0" w:line="259" w:lineRule="auto"/>
        <w:ind w:left="720" w:right="0" w:firstLine="0"/>
      </w:pPr>
      <w:r>
        <w:t xml:space="preserve"> </w:t>
      </w:r>
    </w:p>
    <w:p w14:paraId="2BCCB25D" w14:textId="77777777" w:rsidR="002F59C1" w:rsidRDefault="00260CF3">
      <w:pPr>
        <w:numPr>
          <w:ilvl w:val="0"/>
          <w:numId w:val="5"/>
        </w:numPr>
        <w:ind w:right="6" w:hanging="360"/>
      </w:pPr>
      <w:r>
        <w:t xml:space="preserve">Policy OE11, under the heading “PROTECTION OF GREEN SPACE”, says that </w:t>
      </w:r>
    </w:p>
    <w:p w14:paraId="66E35593" w14:textId="77777777" w:rsidR="002F59C1" w:rsidRDefault="00260CF3">
      <w:pPr>
        <w:ind w:left="720" w:right="6" w:firstLine="0"/>
      </w:pPr>
      <w:r>
        <w:t xml:space="preserve">“[planning] permission will not be </w:t>
      </w:r>
      <w:r>
        <w:t xml:space="preserve">granted for built development on part or all of any green space unless the proposed development can be accommodated without material harm” to the “recreational function of the green space …”, the “visual amenity of the green space …”, its “relationship to </w:t>
      </w:r>
      <w:r>
        <w:t xml:space="preserve">adjoining green spaces …”; and “any known nature conservation value …”.  </w:t>
      </w:r>
    </w:p>
    <w:p w14:paraId="3A56E6A8" w14:textId="77777777" w:rsidR="002F59C1" w:rsidRDefault="00260CF3">
      <w:pPr>
        <w:spacing w:after="0" w:line="259" w:lineRule="auto"/>
        <w:ind w:left="0" w:right="0" w:firstLine="0"/>
      </w:pPr>
      <w:r>
        <w:t xml:space="preserve"> </w:t>
      </w:r>
    </w:p>
    <w:p w14:paraId="32DB9758" w14:textId="77777777" w:rsidR="002F59C1" w:rsidRDefault="00260CF3">
      <w:pPr>
        <w:numPr>
          <w:ilvl w:val="0"/>
          <w:numId w:val="5"/>
        </w:numPr>
        <w:ind w:right="6" w:hanging="360"/>
      </w:pPr>
      <w:r>
        <w:t>In his report for the committee meeting on 14 February 2017, in a section headed “Principle of development”, the officer devoted some eight pages to the proposed development’s “Imp</w:t>
      </w:r>
      <w:r>
        <w:t>act on Green Wedge and Green Space”. He reminded the members that the site, being within the Calderstones/Woolton Green Wedge and also designated as Green Space, is “covered by saved policies OE3 and OE11 which seek to protect [it] from inappropriate devel</w:t>
      </w:r>
      <w:r>
        <w:t xml:space="preserve">opment”.  </w:t>
      </w:r>
    </w:p>
    <w:p w14:paraId="2D49DC6B" w14:textId="77777777" w:rsidR="002F59C1" w:rsidRDefault="00260CF3">
      <w:pPr>
        <w:spacing w:after="0" w:line="259" w:lineRule="auto"/>
        <w:ind w:left="720" w:right="0" w:firstLine="0"/>
      </w:pPr>
      <w:r>
        <w:t xml:space="preserve"> </w:t>
      </w:r>
    </w:p>
    <w:p w14:paraId="0599B95C" w14:textId="77777777" w:rsidR="002F59C1" w:rsidRDefault="00260CF3">
      <w:pPr>
        <w:numPr>
          <w:ilvl w:val="0"/>
          <w:numId w:val="5"/>
        </w:numPr>
        <w:ind w:right="6" w:hanging="360"/>
      </w:pPr>
      <w:r>
        <w:t xml:space="preserve">Under the heading “Green Wedge”, he tackled first the issue arising from subparagraph </w:t>
      </w:r>
      <w:proofErr w:type="spellStart"/>
      <w:r>
        <w:t>i</w:t>
      </w:r>
      <w:proofErr w:type="spellEnd"/>
      <w:r>
        <w:t xml:space="preserve"> of Policy OE3. He told the committee that “Green Wedges are key designations in the UDP and seek to protect those areas from unacceptable harm in terms of </w:t>
      </w:r>
      <w:r>
        <w:t>impacts by not granting planning permission for proposals which would affect the predominantly open character of the Green Wedge or reduce the physical separation between existing built up areas”, and it was “therefore necessary to carefully assess the imp</w:t>
      </w:r>
      <w:r>
        <w:t>acts of the proposed development on the openness of the Green Wedge, as a whole”. He pointed out that “[the] area of the application site, some 5.24 hectares, constitutes approximately 6% of the entire Green Wedge and is located in a part that is character</w:t>
      </w:r>
      <w:r>
        <w:t xml:space="preserve">ised by having buildings and physical structures”, which he described. He then said: </w:t>
      </w:r>
    </w:p>
    <w:p w14:paraId="7568B2A5" w14:textId="77777777" w:rsidR="002F59C1" w:rsidRDefault="00260CF3">
      <w:pPr>
        <w:spacing w:after="0" w:line="259" w:lineRule="auto"/>
        <w:ind w:left="720" w:right="0" w:firstLine="0"/>
      </w:pPr>
      <w:r>
        <w:t xml:space="preserve"> </w:t>
      </w:r>
    </w:p>
    <w:p w14:paraId="4C9A54EF" w14:textId="77777777" w:rsidR="002F59C1" w:rsidRDefault="00260CF3">
      <w:pPr>
        <w:ind w:left="1440" w:right="6" w:firstLine="0"/>
      </w:pPr>
      <w:r>
        <w:t>“It is considered therefore that this part of the Green Wedge is of a different character to other parts of the Green Wedge, by virtue of its more developed nature cont</w:t>
      </w:r>
      <w:r>
        <w:t>aining substantial physical structures. As such, it is considered that the openness of this part of the Green Wedge is already somewhat compromised, including separation distances between the more intensive built development to the south west and north eas</w:t>
      </w:r>
      <w:r>
        <w:t xml:space="preserve">t given the number of built structures that extend into and across this part of the Green Wedge. </w:t>
      </w:r>
    </w:p>
    <w:p w14:paraId="57B92B5E" w14:textId="77777777" w:rsidR="002F59C1" w:rsidRDefault="00260CF3">
      <w:pPr>
        <w:spacing w:after="0" w:line="259" w:lineRule="auto"/>
        <w:ind w:left="1440" w:right="0" w:firstLine="0"/>
      </w:pPr>
      <w:r>
        <w:t xml:space="preserve"> </w:t>
      </w:r>
    </w:p>
    <w:p w14:paraId="75C1871E" w14:textId="77777777" w:rsidR="002F59C1" w:rsidRDefault="00260CF3">
      <w:pPr>
        <w:ind w:left="1440" w:right="6" w:firstLine="0"/>
      </w:pPr>
      <w:r>
        <w:t xml:space="preserve">Given the specific characteristic of this part of the Green Wedge, coupled with its size in comparison to the wider Green Wedge area, it is considered that </w:t>
      </w:r>
      <w:r>
        <w:t>the redevelopment of this portion, with dwellings that have spacious areas around them, in the main, would not unduly impact on the predominantly open character of the wider Green Wedge. In this respect, the Interim Head of Planning considers that the prop</w:t>
      </w:r>
      <w:r>
        <w:t>osal would not conflict with the aims and objectives of part (</w:t>
      </w:r>
      <w:proofErr w:type="spellStart"/>
      <w:r>
        <w:t>i</w:t>
      </w:r>
      <w:proofErr w:type="spellEnd"/>
      <w:r>
        <w:t xml:space="preserve">) of Saved Policy OE3.” </w:t>
      </w:r>
    </w:p>
    <w:p w14:paraId="1C697F2A" w14:textId="77777777" w:rsidR="002F59C1" w:rsidRDefault="00260CF3">
      <w:pPr>
        <w:spacing w:after="0" w:line="259" w:lineRule="auto"/>
        <w:ind w:left="1440" w:right="0" w:firstLine="0"/>
      </w:pPr>
      <w:r>
        <w:t xml:space="preserve"> </w:t>
      </w:r>
    </w:p>
    <w:p w14:paraId="16402C14" w14:textId="77777777" w:rsidR="002F59C1" w:rsidRDefault="00260CF3">
      <w:pPr>
        <w:numPr>
          <w:ilvl w:val="0"/>
          <w:numId w:val="5"/>
        </w:numPr>
        <w:ind w:right="6" w:hanging="360"/>
      </w:pPr>
      <w:r>
        <w:t>He continued by stating that “[where] it is considered that development is appropriate in the Green Wedge, Saved Policy OE3 advises that such development should have regard to …”. He went through each of the criteria in subparagraphs ii and iii of the poli</w:t>
      </w:r>
      <w:r>
        <w:t xml:space="preserve">cy. On the first criterion in subparagraph ii – “[has regard to the] openness of the Green Wedge and the purposes of including land within it” – he said: </w:t>
      </w:r>
    </w:p>
    <w:p w14:paraId="36E7A91F" w14:textId="77777777" w:rsidR="002F59C1" w:rsidRDefault="00260CF3">
      <w:pPr>
        <w:spacing w:after="0" w:line="259" w:lineRule="auto"/>
        <w:ind w:left="720" w:right="0" w:firstLine="0"/>
      </w:pPr>
      <w:r>
        <w:t xml:space="preserve"> </w:t>
      </w:r>
    </w:p>
    <w:p w14:paraId="704FEA64" w14:textId="77777777" w:rsidR="002F59C1" w:rsidRDefault="00260CF3">
      <w:pPr>
        <w:ind w:left="1440" w:right="6" w:firstLine="0"/>
      </w:pPr>
      <w:r>
        <w:t>“The proposed development will clearly involve built development, but has been designed having regard to the sensitive nature of the site to ensure that substantial green corridors are provided along the [site’s] boundaries and within it to try and maintai</w:t>
      </w:r>
      <w:r>
        <w:t>n the [site’s] open character, bearing in mind the character of this part of the Green Wedge which includes areas of developed form, as described in earlier paragraphs. The built areas have sought to locate in those areas of the site, in the main, where ph</w:t>
      </w:r>
      <w:r>
        <w:t xml:space="preserve">ysical structures exist, or have existed in the past. </w:t>
      </w:r>
    </w:p>
    <w:p w14:paraId="44E00041" w14:textId="77777777" w:rsidR="002F59C1" w:rsidRDefault="00260CF3">
      <w:pPr>
        <w:spacing w:after="0" w:line="259" w:lineRule="auto"/>
        <w:ind w:left="1440" w:right="0" w:firstLine="0"/>
      </w:pPr>
      <w:r>
        <w:t xml:space="preserve"> </w:t>
      </w:r>
    </w:p>
    <w:p w14:paraId="60769640" w14:textId="77777777" w:rsidR="002F59C1" w:rsidRDefault="00260CF3">
      <w:pPr>
        <w:ind w:left="1440" w:right="6" w:firstLine="0"/>
      </w:pPr>
      <w:r>
        <w:t>The proposed layout of the development is spacious in character, being of low density and works with the existing landscape to minimise any losses or impact on the landscape value and retaining lands</w:t>
      </w:r>
      <w:r>
        <w:t xml:space="preserve">cape features that will act as visual breaks and screens from the wider area. It is considered therefore that the proposal, and its design/layout, has had regard to the openness and characteristics of this part of the Green Wedge. </w:t>
      </w:r>
    </w:p>
    <w:p w14:paraId="406F10E2" w14:textId="77777777" w:rsidR="002F59C1" w:rsidRDefault="00260CF3">
      <w:pPr>
        <w:spacing w:after="0" w:line="259" w:lineRule="auto"/>
        <w:ind w:left="1440" w:right="0" w:firstLine="0"/>
      </w:pPr>
      <w:r>
        <w:t xml:space="preserve"> </w:t>
      </w:r>
    </w:p>
    <w:p w14:paraId="7FE77CB3" w14:textId="77777777" w:rsidR="002F59C1" w:rsidRDefault="00260CF3">
      <w:pPr>
        <w:ind w:left="1440" w:right="6" w:firstLine="0"/>
      </w:pPr>
      <w:r>
        <w:t>As well as having rega</w:t>
      </w:r>
      <w:r>
        <w:t xml:space="preserve">rd to the openness of the Green Wedge, paragraph 8.25 requires that it is also necessary to consider the proposal against the reasons for including land within the Green Wedge.” </w:t>
      </w:r>
    </w:p>
    <w:p w14:paraId="6EA7CD9E" w14:textId="77777777" w:rsidR="002F59C1" w:rsidRDefault="00260CF3">
      <w:pPr>
        <w:spacing w:after="0" w:line="259" w:lineRule="auto"/>
        <w:ind w:left="720" w:right="0" w:firstLine="0"/>
      </w:pPr>
      <w:r>
        <w:t xml:space="preserve"> </w:t>
      </w:r>
    </w:p>
    <w:p w14:paraId="36882A7F" w14:textId="77777777" w:rsidR="002F59C1" w:rsidRDefault="00260CF3">
      <w:pPr>
        <w:ind w:left="720" w:right="6" w:firstLine="0"/>
      </w:pPr>
      <w:r>
        <w:t>He considered each of the relevant “reasons for including land within the G</w:t>
      </w:r>
      <w:r>
        <w:t>reen Wedge” in paragraph 8.25 of the UDP, finding no conflict with any of them. As for the second criterion in subparagraph ii of the policy, he concluded that “the proposal will satisfy the aims and objectives of Saved Policy HD18”. And under the headings</w:t>
      </w:r>
      <w:r>
        <w:t xml:space="preserve"> “Retain existing vegetation and special site features” and “Provides and maintains a high standard of landscaping”, he concluded, in effect, that the third and fourth criteria were also</w:t>
      </w:r>
      <w:r>
        <w:rPr>
          <w:b/>
        </w:rPr>
        <w:t xml:space="preserve"> </w:t>
      </w:r>
      <w:r>
        <w:t xml:space="preserve">satisfied. </w:t>
      </w:r>
    </w:p>
    <w:p w14:paraId="20D32CF8" w14:textId="77777777" w:rsidR="002F59C1" w:rsidRDefault="00260CF3">
      <w:pPr>
        <w:spacing w:after="0" w:line="259" w:lineRule="auto"/>
        <w:ind w:left="720" w:right="0" w:firstLine="0"/>
      </w:pPr>
      <w:r>
        <w:t xml:space="preserve"> </w:t>
      </w:r>
    </w:p>
    <w:p w14:paraId="6070EFF9" w14:textId="77777777" w:rsidR="002F59C1" w:rsidRDefault="00260CF3">
      <w:pPr>
        <w:numPr>
          <w:ilvl w:val="0"/>
          <w:numId w:val="6"/>
        </w:numPr>
        <w:ind w:right="6" w:hanging="360"/>
      </w:pPr>
      <w:r>
        <w:t>Subparagraph iii of Policy OE3 he described as a “state</w:t>
      </w:r>
      <w:r>
        <w:t xml:space="preserve">ment of intent/aspiration for land retained within [the city council’s] ownership and for supporting proposals which enhance </w:t>
      </w:r>
    </w:p>
    <w:p w14:paraId="67B3010A" w14:textId="77777777" w:rsidR="002F59C1" w:rsidRDefault="00260CF3">
      <w:pPr>
        <w:ind w:left="720" w:right="6" w:firstLine="0"/>
      </w:pPr>
      <w:r>
        <w:t>the openness of the Green Wedge”. Because the site was going to be transferred into private ownership, he did not give “any signif</w:t>
      </w:r>
      <w:r>
        <w:t>icant weight” to this consideration. But the development would, he said, “support the enhancement of tree cover”. And the relocation of the stables and miniature railway, “as larger facilities, elsewhere in the Green Wedge”, would “enhance its wider recrea</w:t>
      </w:r>
      <w:r>
        <w:t xml:space="preserve">tional function”. He concluded, therefore, that “the relocation of the proposed uses as part of this application would maintain and enhance what are diverse recreational offers, keeping them within the Calderstones/Woolton Green Wedge”.   </w:t>
      </w:r>
    </w:p>
    <w:p w14:paraId="593BD7D0" w14:textId="77777777" w:rsidR="002F59C1" w:rsidRDefault="00260CF3">
      <w:pPr>
        <w:spacing w:after="0" w:line="259" w:lineRule="auto"/>
        <w:ind w:left="720" w:right="0" w:firstLine="0"/>
      </w:pPr>
      <w:r>
        <w:t xml:space="preserve"> </w:t>
      </w:r>
    </w:p>
    <w:p w14:paraId="67D33814" w14:textId="77777777" w:rsidR="002F59C1" w:rsidRDefault="00260CF3">
      <w:pPr>
        <w:numPr>
          <w:ilvl w:val="0"/>
          <w:numId w:val="6"/>
        </w:numPr>
        <w:ind w:right="6" w:hanging="360"/>
      </w:pPr>
      <w:r>
        <w:t>As for the eff</w:t>
      </w:r>
      <w:r>
        <w:t>ects on “Green Space”, the officer recognised that although “elements of [Policy OE11] overlap with [Policy OE3]”, it was “still necessary to consider the application against the tests contained within [Policy OE11]”. He found no conflict with any of those</w:t>
      </w:r>
      <w:r>
        <w:t xml:space="preserve"> “tests”. </w:t>
      </w:r>
    </w:p>
    <w:p w14:paraId="2D1B3839" w14:textId="77777777" w:rsidR="002F59C1" w:rsidRDefault="00260CF3">
      <w:pPr>
        <w:spacing w:after="0" w:line="259" w:lineRule="auto"/>
        <w:ind w:left="0" w:right="0" w:firstLine="0"/>
      </w:pPr>
      <w:r>
        <w:t xml:space="preserve"> </w:t>
      </w:r>
    </w:p>
    <w:p w14:paraId="0848BE33" w14:textId="77777777" w:rsidR="002F59C1" w:rsidRDefault="00260CF3">
      <w:pPr>
        <w:numPr>
          <w:ilvl w:val="0"/>
          <w:numId w:val="6"/>
        </w:numPr>
        <w:ind w:right="6" w:hanging="360"/>
      </w:pPr>
      <w:r>
        <w:t xml:space="preserve">The conclusions in this section of the officer’s report were: </w:t>
      </w:r>
    </w:p>
    <w:p w14:paraId="69B555AF" w14:textId="77777777" w:rsidR="002F59C1" w:rsidRDefault="00260CF3">
      <w:pPr>
        <w:spacing w:after="0" w:line="259" w:lineRule="auto"/>
        <w:ind w:left="720" w:right="0" w:firstLine="0"/>
      </w:pPr>
      <w:r>
        <w:t xml:space="preserve"> </w:t>
      </w:r>
    </w:p>
    <w:p w14:paraId="6CA50C63" w14:textId="77777777" w:rsidR="002F59C1" w:rsidRDefault="00260CF3">
      <w:pPr>
        <w:ind w:left="1440" w:right="6" w:firstLine="0"/>
      </w:pPr>
      <w:r>
        <w:t xml:space="preserve">“… [The] Interim Head of Planning therefore considers that whilst the proposal constitutes development within the Green Wedge and Green Space, the application site is in part of </w:t>
      </w:r>
      <w:r>
        <w:t>the Green Wedge which is already characterised by built structures. He considers that the proposed development will have no significant impact on the character or openness of the wider Green Wedge/Green Space and where any limited impacts do exist, they wo</w:t>
      </w:r>
      <w:r>
        <w:t xml:space="preserve">uld be outweighed by the identified wider public/regeneration benefits. As such, he considers that the proposal complies with the aims and objectives of saved policies OE3 and OE11 of the UDP. </w:t>
      </w:r>
    </w:p>
    <w:p w14:paraId="12D92ECC" w14:textId="77777777" w:rsidR="002F59C1" w:rsidRDefault="00260CF3">
      <w:pPr>
        <w:spacing w:after="0" w:line="259" w:lineRule="auto"/>
        <w:ind w:left="1440" w:right="0" w:firstLine="0"/>
      </w:pPr>
      <w:r>
        <w:t xml:space="preserve"> </w:t>
      </w:r>
    </w:p>
    <w:p w14:paraId="30E51344" w14:textId="77777777" w:rsidR="002F59C1" w:rsidRDefault="00260CF3">
      <w:pPr>
        <w:ind w:left="1440" w:right="6" w:firstLine="0"/>
      </w:pPr>
      <w:r>
        <w:t>Members will note that the application site was advertised as a departure under the precautionary principle. Having fully assessed the application, the Interim Head of Planning is satisfied that the proposed development does not constitute a departure from</w:t>
      </w:r>
      <w:r>
        <w:t xml:space="preserve"> the UDP in relation to saved policies OE3 and OE11, given it is considered that there will be only limited impacts.”  </w:t>
      </w:r>
    </w:p>
    <w:p w14:paraId="5F20D24C" w14:textId="77777777" w:rsidR="002F59C1" w:rsidRDefault="00260CF3">
      <w:pPr>
        <w:spacing w:after="0" w:line="259" w:lineRule="auto"/>
        <w:ind w:left="1440" w:right="0" w:firstLine="0"/>
      </w:pPr>
      <w:r>
        <w:t xml:space="preserve"> </w:t>
      </w:r>
    </w:p>
    <w:p w14:paraId="0930891A" w14:textId="77777777" w:rsidR="002F59C1" w:rsidRDefault="00260CF3">
      <w:pPr>
        <w:numPr>
          <w:ilvl w:val="0"/>
          <w:numId w:val="6"/>
        </w:numPr>
        <w:ind w:right="6" w:hanging="360"/>
      </w:pPr>
      <w:r>
        <w:t>The officer’s report on the proposed relocation of the miniature railway sets out a similar assessment. The proposal was, “on balance,</w:t>
      </w:r>
      <w:r>
        <w:t xml:space="preserve"> acceptable and matters relating to impact on openness/greenspace … are acceptable, having regard to the impact on the wider Green Wedge”. </w:t>
      </w:r>
    </w:p>
    <w:p w14:paraId="2608559B" w14:textId="77777777" w:rsidR="002F59C1" w:rsidRDefault="00260CF3">
      <w:pPr>
        <w:spacing w:after="0" w:line="259" w:lineRule="auto"/>
        <w:ind w:left="720" w:right="0" w:firstLine="0"/>
      </w:pPr>
      <w:r>
        <w:t xml:space="preserve"> </w:t>
      </w:r>
    </w:p>
    <w:p w14:paraId="28C8E6C3" w14:textId="77777777" w:rsidR="002F59C1" w:rsidRDefault="00260CF3">
      <w:pPr>
        <w:numPr>
          <w:ilvl w:val="0"/>
          <w:numId w:val="6"/>
        </w:numPr>
        <w:ind w:right="6" w:hanging="360"/>
      </w:pPr>
      <w:r>
        <w:t>Kerr J. was persuaded that there was “a clear conflict between the proposals and policy OE3 and [the officer’s rep</w:t>
      </w:r>
      <w:r>
        <w:t xml:space="preserve">ort] was wrong to conclude otherwise” (paragraph 102). He did not think that “[subparagraph] ii permits planning judgment to allow what is prohibited under [subparagraph] </w:t>
      </w:r>
      <w:proofErr w:type="spellStart"/>
      <w:r>
        <w:t>i</w:t>
      </w:r>
      <w:proofErr w:type="spellEnd"/>
      <w:r>
        <w:t>” (paragraph 103). The “conflict with [Policy] OE3 here had to be openly acknowledge</w:t>
      </w:r>
      <w:r>
        <w:t xml:space="preserve">d and expressly taken into account”. It was “indisputable and not disputed that these proposals would affect the open character of the [Green Wedge] land within and around the application site, whether or not “open character” here is equated to “openness” </w:t>
      </w:r>
      <w:r>
        <w:t>in [Green Belt] cases” (paragraph 104). In a case such as this, the local planning authority had to “face up to the conflict” with the development plan, and, “if it decides to proceed, address itself under section 38(6) of the Planning and Compulsory Purch</w:t>
      </w:r>
      <w:r>
        <w:t xml:space="preserve">ase Act 2004 to the incongruity between the development proposal and the development plan” (paragraph 109). The officer’s report was “wrong, without first acknowledging a conflict with [Policy] OE3 </w:t>
      </w:r>
      <w:proofErr w:type="spellStart"/>
      <w:r>
        <w:t>i</w:t>
      </w:r>
      <w:proofErr w:type="spellEnd"/>
      <w:r>
        <w:t>, to concern itself with the planning judgment as to whet</w:t>
      </w:r>
      <w:r>
        <w:t>her the development would “unduly” or “in the main” adversely affect the green wedge space; and was wrong to assess the extent of the adverse effect, the degree to which the open character of the green wedge land was already compromised and the proportion,</w:t>
      </w:r>
      <w:r>
        <w:t xml:space="preserve"> expressed as a percentage of the whole, of the green space affected” (paragraph 110). </w:t>
      </w:r>
    </w:p>
    <w:p w14:paraId="3E499D4F" w14:textId="77777777" w:rsidR="002F59C1" w:rsidRDefault="00260CF3">
      <w:pPr>
        <w:spacing w:after="0" w:line="259" w:lineRule="auto"/>
        <w:ind w:left="720" w:right="0" w:firstLine="0"/>
      </w:pPr>
      <w:r>
        <w:t xml:space="preserve"> </w:t>
      </w:r>
    </w:p>
    <w:p w14:paraId="2924AAB4" w14:textId="77777777" w:rsidR="002F59C1" w:rsidRDefault="00260CF3">
      <w:pPr>
        <w:numPr>
          <w:ilvl w:val="0"/>
          <w:numId w:val="6"/>
        </w:numPr>
        <w:ind w:right="6" w:hanging="360"/>
      </w:pPr>
      <w:r>
        <w:t>Before us, as in the court below, counsel referred to a number of cases where Green Belt policy has been contentious. We can concentrate on four decisions in which th</w:t>
      </w:r>
      <w:r>
        <w:t xml:space="preserve">e concept of “openness” has been discussed: the decisions of this court in </w:t>
      </w:r>
      <w:r>
        <w:rPr>
          <w:i/>
        </w:rPr>
        <w:t xml:space="preserve">R. (on the application of Lee </w:t>
      </w:r>
    </w:p>
    <w:p w14:paraId="7EB58E68" w14:textId="77777777" w:rsidR="002F59C1" w:rsidRDefault="00260CF3">
      <w:pPr>
        <w:ind w:left="720" w:right="6" w:firstLine="0"/>
      </w:pPr>
      <w:r>
        <w:rPr>
          <w:i/>
        </w:rPr>
        <w:t>Valley Regional Park Authority) v Epping Forest District Council</w:t>
      </w:r>
      <w:r>
        <w:t xml:space="preserve"> [2016] Env. L.R. 30, </w:t>
      </w:r>
      <w:r>
        <w:rPr>
          <w:i/>
        </w:rPr>
        <w:t>Turner v Secretary of State for Communities and Local Government</w:t>
      </w:r>
      <w:r>
        <w:rPr>
          <w:i/>
        </w:rPr>
        <w:t xml:space="preserve"> </w:t>
      </w:r>
      <w:r>
        <w:t xml:space="preserve">[2017] 2 P. &amp; C.R. 1, and </w:t>
      </w:r>
      <w:r>
        <w:rPr>
          <w:i/>
        </w:rPr>
        <w:t>R. (on the application of Samuel Smith Old Brewery (Tadcaster)) v North Yorkshire County Council</w:t>
      </w:r>
      <w:r>
        <w:t xml:space="preserve"> [2018] EWCA </w:t>
      </w:r>
      <w:proofErr w:type="spellStart"/>
      <w:r>
        <w:t>Civ</w:t>
      </w:r>
      <w:proofErr w:type="spellEnd"/>
      <w:r>
        <w:t xml:space="preserve"> 489, and the Supreme Court’s in </w:t>
      </w:r>
      <w:r>
        <w:rPr>
          <w:i/>
        </w:rPr>
        <w:t>Samuel Smith</w:t>
      </w:r>
      <w:r>
        <w:t xml:space="preserve"> – though differing from this court in its analysis of the planning offi</w:t>
      </w:r>
      <w:r>
        <w:t>cer’s report ([2020] P.T.S.R. 221). Principles clarified in those three cases have some bearing on the issue here – with the caveat that we are concerned not with national policy for the Green Belt but with local policy for a Green Wedge, whose precise dra</w:t>
      </w:r>
      <w:r>
        <w:t xml:space="preserve">fting may not be replicated elsewhere. </w:t>
      </w:r>
    </w:p>
    <w:p w14:paraId="162535E1" w14:textId="77777777" w:rsidR="002F59C1" w:rsidRDefault="00260CF3">
      <w:pPr>
        <w:spacing w:after="0" w:line="259" w:lineRule="auto"/>
        <w:ind w:left="720" w:right="0" w:firstLine="0"/>
      </w:pPr>
      <w:r>
        <w:t xml:space="preserve"> </w:t>
      </w:r>
    </w:p>
    <w:p w14:paraId="2C90A339" w14:textId="77777777" w:rsidR="002F59C1" w:rsidRDefault="00260CF3">
      <w:pPr>
        <w:numPr>
          <w:ilvl w:val="0"/>
          <w:numId w:val="6"/>
        </w:numPr>
        <w:ind w:right="6" w:hanging="360"/>
      </w:pPr>
      <w:r>
        <w:t>To enlarge on the basic points recently identified by this court in</w:t>
      </w:r>
      <w:r>
        <w:rPr>
          <w:i/>
        </w:rPr>
        <w:t xml:space="preserve"> Hook v Secretary of State for Housing, Communities and Local Government </w:t>
      </w:r>
      <w:r>
        <w:t xml:space="preserve">[2020] EWCA </w:t>
      </w:r>
      <w:proofErr w:type="spellStart"/>
      <w:r>
        <w:t>Civ</w:t>
      </w:r>
      <w:proofErr w:type="spellEnd"/>
      <w:r>
        <w:t xml:space="preserve"> 486 (at paragraph 7): </w:t>
      </w:r>
    </w:p>
    <w:p w14:paraId="43D29B2C" w14:textId="77777777" w:rsidR="002F59C1" w:rsidRDefault="00260CF3">
      <w:pPr>
        <w:spacing w:after="0" w:line="259" w:lineRule="auto"/>
        <w:ind w:left="720" w:right="0" w:firstLine="0"/>
      </w:pPr>
      <w:r>
        <w:t xml:space="preserve"> </w:t>
      </w:r>
    </w:p>
    <w:p w14:paraId="0197BC2F" w14:textId="77777777" w:rsidR="002F59C1" w:rsidRDefault="00260CF3">
      <w:pPr>
        <w:numPr>
          <w:ilvl w:val="1"/>
          <w:numId w:val="6"/>
        </w:numPr>
        <w:ind w:right="6" w:hanging="360"/>
      </w:pPr>
      <w:r>
        <w:t xml:space="preserve">The imperative of preserving the </w:t>
      </w:r>
      <w:r>
        <w:t xml:space="preserve">“openness” of the Green Belt – a basic component of government policy for the Green Belt in the NPPF, as in previous statements of national policy – is not a concept of law; it is a broad concept of policy (see </w:t>
      </w:r>
      <w:r>
        <w:rPr>
          <w:i/>
        </w:rPr>
        <w:t>Hook</w:t>
      </w:r>
      <w:r>
        <w:t>, at paragraph 7(1)). As with other formu</w:t>
      </w:r>
      <w:r>
        <w:t xml:space="preserve">lations of planning policy, its meaning is to be derived from the words the policy-maker has used, read sensibly in their “proper context”, and not as if they were the provisions of a statute or contract (see the judgment of Lord Reed in </w:t>
      </w:r>
      <w:r>
        <w:rPr>
          <w:i/>
        </w:rPr>
        <w:t xml:space="preserve">Tesco Stores Ltd. </w:t>
      </w:r>
      <w:r>
        <w:rPr>
          <w:i/>
        </w:rPr>
        <w:t>v Dundee City Council</w:t>
      </w:r>
      <w:r>
        <w:t xml:space="preserve"> [2012] 2 P. &amp; C.R. 9, at paragraphs 18 and 19). </w:t>
      </w:r>
    </w:p>
    <w:p w14:paraId="351AF858" w14:textId="77777777" w:rsidR="002F59C1" w:rsidRDefault="00260CF3">
      <w:pPr>
        <w:spacing w:after="0" w:line="259" w:lineRule="auto"/>
        <w:ind w:left="1416" w:right="0" w:firstLine="0"/>
      </w:pPr>
      <w:r>
        <w:t xml:space="preserve">  </w:t>
      </w:r>
    </w:p>
    <w:p w14:paraId="66B61452" w14:textId="77777777" w:rsidR="002F59C1" w:rsidRDefault="00260CF3">
      <w:pPr>
        <w:numPr>
          <w:ilvl w:val="1"/>
          <w:numId w:val="6"/>
        </w:numPr>
        <w:ind w:right="6" w:hanging="360"/>
      </w:pPr>
      <w:r>
        <w:t xml:space="preserve">Applying the policy imperative of preserving the “openness” of the Green Belt requires realism and common sense. As was emphasised both by this court in </w:t>
      </w:r>
      <w:r>
        <w:rPr>
          <w:i/>
        </w:rPr>
        <w:t xml:space="preserve">Samuel Smith </w:t>
      </w:r>
      <w:r>
        <w:t>(at paragraphs 3</w:t>
      </w:r>
      <w:r>
        <w:t>3, 38 to 40 and 50), and by the Supreme Court (at paragraphs 22 and 25), it involves the exercise of planning judgment by the decision-maker. When it considers whether the decision-maker has exercised a lawful planning judgment in applying a planning polic</w:t>
      </w:r>
      <w:r>
        <w:t xml:space="preserve">y, the court will not be taken beyond its limited role in a public law challenge (see the speech of Lord Clyde in </w:t>
      </w:r>
      <w:r>
        <w:rPr>
          <w:i/>
        </w:rPr>
        <w:t>City of Edinburgh Council v Secretary of State for Scotland</w:t>
      </w:r>
      <w:r>
        <w:t xml:space="preserve"> [1997] 1 W.L.R. 1447, at p.1458G to p.1459D). As this court has often said, an und</w:t>
      </w:r>
      <w:r>
        <w:t xml:space="preserve">uly legalistic approach must be avoided (see, for example, </w:t>
      </w:r>
      <w:r>
        <w:rPr>
          <w:i/>
        </w:rPr>
        <w:t>East Staffordshire Borough Council v Secretary of State for Communities and Local Government</w:t>
      </w:r>
      <w:r>
        <w:t xml:space="preserve"> [2018] P.T.S.R. 88, at paragraph 50; and </w:t>
      </w:r>
      <w:r>
        <w:rPr>
          <w:i/>
        </w:rPr>
        <w:t>Hook</w:t>
      </w:r>
      <w:r>
        <w:t>, at paragraph 7(2)). But if an error of law is shown – suc</w:t>
      </w:r>
      <w:r>
        <w:t xml:space="preserve">h as a misinterpretation of policy leading to a failure to exercise a planning judgment that the policy requires – the court will intervene. </w:t>
      </w:r>
    </w:p>
    <w:p w14:paraId="723676A6" w14:textId="77777777" w:rsidR="002F59C1" w:rsidRDefault="00260CF3">
      <w:pPr>
        <w:spacing w:after="0" w:line="259" w:lineRule="auto"/>
        <w:ind w:left="1416" w:right="0" w:firstLine="0"/>
      </w:pPr>
      <w:r>
        <w:t xml:space="preserve"> </w:t>
      </w:r>
    </w:p>
    <w:p w14:paraId="2E72B332" w14:textId="77777777" w:rsidR="002F59C1" w:rsidRDefault="00260CF3">
      <w:pPr>
        <w:numPr>
          <w:ilvl w:val="1"/>
          <w:numId w:val="6"/>
        </w:numPr>
        <w:ind w:right="6" w:hanging="360"/>
      </w:pPr>
      <w:r>
        <w:t xml:space="preserve">The courts’ reasoning in </w:t>
      </w:r>
      <w:r>
        <w:rPr>
          <w:i/>
        </w:rPr>
        <w:t>Lee Valley</w:t>
      </w:r>
      <w:r>
        <w:t xml:space="preserve">, </w:t>
      </w:r>
      <w:r>
        <w:rPr>
          <w:i/>
        </w:rPr>
        <w:t xml:space="preserve">Turner </w:t>
      </w:r>
      <w:r>
        <w:t xml:space="preserve">and </w:t>
      </w:r>
      <w:r>
        <w:rPr>
          <w:i/>
        </w:rPr>
        <w:t xml:space="preserve">Samuel Smith </w:t>
      </w:r>
      <w:r>
        <w:t xml:space="preserve">dispels the fallacy that the visual effects of a development cannot be relevant to the question of whether it will preserve the “openness” of the Green Belt. In both </w:t>
      </w:r>
      <w:r>
        <w:rPr>
          <w:i/>
        </w:rPr>
        <w:t xml:space="preserve">Turner </w:t>
      </w:r>
      <w:r>
        <w:t xml:space="preserve">(at paragraphs 13 to 18 and 26) and </w:t>
      </w:r>
      <w:r>
        <w:rPr>
          <w:i/>
        </w:rPr>
        <w:t xml:space="preserve">Samuel Smith </w:t>
      </w:r>
      <w:r>
        <w:t>(at paragraphs 19 to 22) the Court</w:t>
      </w:r>
      <w:r>
        <w:t xml:space="preserve"> of Appeal accepted that, in principle, such effects can be relevant to this question, as a matter of planning judgment. And this was accepted by the Supreme Court in </w:t>
      </w:r>
      <w:r>
        <w:rPr>
          <w:i/>
        </w:rPr>
        <w:t xml:space="preserve">Samuel Smith </w:t>
      </w:r>
      <w:r>
        <w:t xml:space="preserve">(see paragraphs 22, 25 and 40).  </w:t>
      </w:r>
    </w:p>
    <w:p w14:paraId="0151466E" w14:textId="77777777" w:rsidR="002F59C1" w:rsidRDefault="00260CF3">
      <w:pPr>
        <w:spacing w:after="0" w:line="259" w:lineRule="auto"/>
        <w:ind w:left="1416" w:right="0" w:firstLine="0"/>
      </w:pPr>
      <w:r>
        <w:t xml:space="preserve"> </w:t>
      </w:r>
    </w:p>
    <w:p w14:paraId="2607A575" w14:textId="77777777" w:rsidR="002F59C1" w:rsidRDefault="00260CF3">
      <w:pPr>
        <w:numPr>
          <w:ilvl w:val="1"/>
          <w:numId w:val="6"/>
        </w:numPr>
        <w:ind w:right="6" w:hanging="360"/>
      </w:pPr>
      <w:r>
        <w:t>Those three cases demonstrate the importance of context to a true understanding of the policy being considered. Context governs the policy’s meaning. Thus, for example, the aim of preserving the “openness” of the Green Belt was not limited by the propositi</w:t>
      </w:r>
      <w:r>
        <w:t>on in paragraph 79 of the NPPF that one of the “essential characteristics” of Green Belts is their “openness” – a concept whose meaning, in that context, goes to the mere physical presence, or otherwise, of buildings, regardless of any visual impact they m</w:t>
      </w:r>
      <w:r>
        <w:t xml:space="preserve">ight have (see </w:t>
      </w:r>
      <w:r>
        <w:rPr>
          <w:i/>
        </w:rPr>
        <w:t>Lee Valley</w:t>
      </w:r>
      <w:r>
        <w:t xml:space="preserve">, at paragraph 7; and </w:t>
      </w:r>
      <w:r>
        <w:rPr>
          <w:i/>
        </w:rPr>
        <w:t>Hook</w:t>
      </w:r>
      <w:r>
        <w:t xml:space="preserve">, at paragraph 7(3)). As this court said in </w:t>
      </w:r>
      <w:r>
        <w:rPr>
          <w:i/>
        </w:rPr>
        <w:t>Lee Valley</w:t>
      </w:r>
      <w:r>
        <w:t xml:space="preserve"> (at paragraph 7), specifically in the context of paragraph 79, “[the] concept of “openness” here means the state of being free from built development,</w:t>
      </w:r>
      <w:r>
        <w:t xml:space="preserve"> the absence of buildings – as distinct from the absence of visual impact”. But this does not mean that, in the context of the development control policies in paragraphs 87 to 90, harm to “openness” cannot be caused by forms of development other than build</w:t>
      </w:r>
      <w:r>
        <w:t xml:space="preserve">ings – such as those referred to in paragraph 90, which contains a proviso that they “preserve the openness of the Green Belt”; or cannot be caused by a development’s visual impact on “openness”. If it were otherwise, those policies would not make sense.  </w:t>
      </w:r>
    </w:p>
    <w:p w14:paraId="0E633587" w14:textId="77777777" w:rsidR="002F59C1" w:rsidRDefault="00260CF3">
      <w:pPr>
        <w:spacing w:after="0" w:line="259" w:lineRule="auto"/>
        <w:ind w:left="1416" w:right="0" w:firstLine="0"/>
      </w:pPr>
      <w:r>
        <w:t xml:space="preserve"> </w:t>
      </w:r>
    </w:p>
    <w:p w14:paraId="0F09279E" w14:textId="77777777" w:rsidR="002F59C1" w:rsidRDefault="00260CF3">
      <w:pPr>
        <w:numPr>
          <w:ilvl w:val="1"/>
          <w:numId w:val="6"/>
        </w:numPr>
        <w:ind w:right="6" w:hanging="360"/>
      </w:pPr>
      <w:r>
        <w:t xml:space="preserve">There was no indication in paragraphs 87 to 90 of the NPPF that the aim of preserving the openness of the Green Belt excludes consideration of visual as well as physical or spatial impact. On the contrary, as Sales L.J. said in </w:t>
      </w:r>
      <w:r>
        <w:rPr>
          <w:i/>
        </w:rPr>
        <w:t>Turner</w:t>
      </w:r>
      <w:r>
        <w:t>, “[the] word “open</w:t>
      </w:r>
      <w:r>
        <w:t xml:space="preserve">ness” is open-textured and a number of factors are capable of being relevant when it comes to applying it to the particular facts of a specific case” </w:t>
      </w:r>
    </w:p>
    <w:p w14:paraId="6D4190A1" w14:textId="77777777" w:rsidR="002F59C1" w:rsidRDefault="00260CF3">
      <w:pPr>
        <w:ind w:left="1416" w:right="6" w:firstLine="0"/>
      </w:pPr>
      <w:r>
        <w:t xml:space="preserve">(paragraph 14); “[the] question of visual impact is implicitly part of the concept of [the] “openness of </w:t>
      </w:r>
      <w:r>
        <w:t>the Green Belt” as a matter of the natural meaning of the language used in para. 89 of the NPPF” (paragraph 15); and “it does not follow from the fact that there may be other harms with a visual dimension apart from harm to the openness of the Green Belt t</w:t>
      </w:r>
      <w:r>
        <w:t xml:space="preserve">hat the concept of openness of the Green Belt has no visual dimension itself” (paragraph 16). The correctness of those observations was not doubted by the Supreme Court in </w:t>
      </w:r>
      <w:r>
        <w:rPr>
          <w:i/>
        </w:rPr>
        <w:t>Samuel Smith</w:t>
      </w:r>
      <w:r>
        <w:t xml:space="preserve">. </w:t>
      </w:r>
    </w:p>
    <w:p w14:paraId="075669D7" w14:textId="77777777" w:rsidR="002F59C1" w:rsidRDefault="00260CF3">
      <w:pPr>
        <w:spacing w:after="0" w:line="259" w:lineRule="auto"/>
        <w:ind w:left="0" w:right="0" w:firstLine="0"/>
      </w:pPr>
      <w:r>
        <w:t xml:space="preserve"> </w:t>
      </w:r>
    </w:p>
    <w:p w14:paraId="192703D9" w14:textId="77777777" w:rsidR="002F59C1" w:rsidRDefault="00260CF3">
      <w:pPr>
        <w:numPr>
          <w:ilvl w:val="0"/>
          <w:numId w:val="6"/>
        </w:numPr>
        <w:ind w:right="6" w:hanging="360"/>
      </w:pPr>
      <w:r>
        <w:t>Mr Tucker submitted that the city council had to establish for itse</w:t>
      </w:r>
      <w:r>
        <w:t xml:space="preserve">lf, on a correct understanding of the relevant policies in the development plan, including Policy OE3, whether the proposal accorded with the plan “as a whole” (see the recent decision of this court in </w:t>
      </w:r>
      <w:r>
        <w:rPr>
          <w:i/>
        </w:rPr>
        <w:t>R. (on the application of Corbett) v The Cornwall Coun</w:t>
      </w:r>
      <w:r>
        <w:rPr>
          <w:i/>
        </w:rPr>
        <w:t xml:space="preserve">cil </w:t>
      </w:r>
      <w:r>
        <w:t xml:space="preserve">[2020] EWCA </w:t>
      </w:r>
      <w:proofErr w:type="spellStart"/>
      <w:r>
        <w:t>Civ</w:t>
      </w:r>
      <w:proofErr w:type="spellEnd"/>
      <w:r>
        <w:t xml:space="preserve"> 508, at paragraphs 40 to 42; and the judgment of Patterson J. in </w:t>
      </w:r>
      <w:proofErr w:type="spellStart"/>
      <w:r>
        <w:rPr>
          <w:i/>
        </w:rPr>
        <w:t>Tiviot</w:t>
      </w:r>
      <w:proofErr w:type="spellEnd"/>
      <w:r>
        <w:rPr>
          <w:i/>
        </w:rPr>
        <w:t xml:space="preserve"> Way Investments Ltd. v Secretary of State for Communities and Local Government</w:t>
      </w:r>
      <w:r>
        <w:t xml:space="preserve"> [2015] EWHC 2489 (Admin), at paragraphs 27 to 36). And it did so. The judge’s interpr</w:t>
      </w:r>
      <w:r>
        <w:t xml:space="preserve">etation of Policy OE3 was incorrect. It wrongly elevated “open character” to an absolute concept. Subparagraph </w:t>
      </w:r>
      <w:proofErr w:type="spellStart"/>
      <w:r>
        <w:t>i</w:t>
      </w:r>
      <w:proofErr w:type="spellEnd"/>
      <w:r>
        <w:t xml:space="preserve"> of the policy refers to development affecting the “predominantly open character” of a Green Wedge. This is a qualified concept – and one that d</w:t>
      </w:r>
      <w:r>
        <w:t xml:space="preserve">oes not appear in Green Belt policy. Policy OE3 does not mean that all built development in a Green Wedge must be regarded as causing – in the officer’s words – “unacceptable harm”. Some “harm” by the reduction of </w:t>
      </w:r>
      <w:proofErr w:type="spellStart"/>
      <w:r>
        <w:t>unbuiltupon</w:t>
      </w:r>
      <w:proofErr w:type="spellEnd"/>
      <w:r>
        <w:t xml:space="preserve"> land may be acceptable, and no</w:t>
      </w:r>
      <w:r>
        <w:t>t contrary to Policy OE3, if it does not conflict with the aims and objectives of the policy. An impact less than “unacceptable harm” is not unacceptable. Assessing whether a particular proposal is contrary to the policy will always be a matter of planning</w:t>
      </w:r>
      <w:r>
        <w:t xml:space="preserve"> judgment for the decision-maker. Here, the city council, in the lawful exercise of its planning judgment, was satisfied that the development would not have an unacceptable impact on</w:t>
      </w:r>
      <w:r>
        <w:rPr>
          <w:b/>
        </w:rPr>
        <w:t xml:space="preserve"> </w:t>
      </w:r>
      <w:r>
        <w:t>the “predominantly open character” of the Green Wedge, and that it compli</w:t>
      </w:r>
      <w:r>
        <w:t xml:space="preserve">ed with Policy OE3 in its totality. It did not misinterpret the policy.    </w:t>
      </w:r>
    </w:p>
    <w:p w14:paraId="08CB4BCA" w14:textId="77777777" w:rsidR="002F59C1" w:rsidRDefault="00260CF3">
      <w:pPr>
        <w:spacing w:after="0" w:line="259" w:lineRule="auto"/>
        <w:ind w:left="720" w:right="0" w:firstLine="0"/>
      </w:pPr>
      <w:r>
        <w:t xml:space="preserve"> </w:t>
      </w:r>
    </w:p>
    <w:p w14:paraId="7A274172" w14:textId="77777777" w:rsidR="002F59C1" w:rsidRDefault="00260CF3">
      <w:pPr>
        <w:numPr>
          <w:ilvl w:val="0"/>
          <w:numId w:val="6"/>
        </w:numPr>
        <w:ind w:right="6" w:hanging="360"/>
      </w:pPr>
      <w:r>
        <w:t xml:space="preserve">Mr </w:t>
      </w:r>
      <w:proofErr w:type="spellStart"/>
      <w:r>
        <w:t>Streeten</w:t>
      </w:r>
      <w:proofErr w:type="spellEnd"/>
      <w:r>
        <w:t xml:space="preserve"> urged us to accept the judge’s interpretation of Policy OE3. He submitted that the concepts of “open character” and “openness” in the policy are synonymous, and the s</w:t>
      </w:r>
      <w:r>
        <w:t xml:space="preserve">ame as the concept of “openness” in policy for the Green Belt, and for Metropolitan Open Land: the absence of built development, the counterpart of urban sprawl (see </w:t>
      </w:r>
      <w:r>
        <w:rPr>
          <w:i/>
        </w:rPr>
        <w:t xml:space="preserve">Lee Valley </w:t>
      </w:r>
      <w:r>
        <w:t xml:space="preserve">and </w:t>
      </w:r>
      <w:r>
        <w:rPr>
          <w:i/>
        </w:rPr>
        <w:t>Samuel Smith</w:t>
      </w:r>
      <w:r>
        <w:t xml:space="preserve">, and </w:t>
      </w:r>
      <w:r>
        <w:rPr>
          <w:i/>
        </w:rPr>
        <w:t xml:space="preserve">R. (on the application of Heath and Hampstead Society) v </w:t>
      </w:r>
      <w:r>
        <w:rPr>
          <w:i/>
        </w:rPr>
        <w:t>Camden London Borough Council</w:t>
      </w:r>
      <w:r>
        <w:t xml:space="preserve"> [2007] 2 P. &amp; C.R. 19, and </w:t>
      </w:r>
      <w:r>
        <w:rPr>
          <w:i/>
        </w:rPr>
        <w:t xml:space="preserve">R. (on the application of </w:t>
      </w:r>
      <w:proofErr w:type="spellStart"/>
      <w:r>
        <w:rPr>
          <w:i/>
        </w:rPr>
        <w:t>Lensbury</w:t>
      </w:r>
      <w:proofErr w:type="spellEnd"/>
      <w:r>
        <w:rPr>
          <w:i/>
        </w:rPr>
        <w:t xml:space="preserve"> Ltd.) v Richmond-upon-Thames London Borough Council</w:t>
      </w:r>
      <w:r>
        <w:t xml:space="preserve"> [2016] EWCA </w:t>
      </w:r>
      <w:proofErr w:type="spellStart"/>
      <w:r>
        <w:t>Civ</w:t>
      </w:r>
      <w:proofErr w:type="spellEnd"/>
      <w:r>
        <w:t xml:space="preserve"> 814). This understanding of Policy OE3, he said, is consistent with the origins of the policy in</w:t>
      </w:r>
      <w:r>
        <w:t xml:space="preserve"> the “Green Wedge Policy” document of 1988, and the Issues Paper of October 2002.  </w:t>
      </w:r>
    </w:p>
    <w:p w14:paraId="4F06B40A" w14:textId="77777777" w:rsidR="002F59C1" w:rsidRDefault="00260CF3">
      <w:pPr>
        <w:spacing w:after="0" w:line="259" w:lineRule="auto"/>
        <w:ind w:left="720" w:right="0" w:firstLine="0"/>
      </w:pPr>
      <w:r>
        <w:t xml:space="preserve"> </w:t>
      </w:r>
    </w:p>
    <w:p w14:paraId="4F35C6C3" w14:textId="77777777" w:rsidR="002F59C1" w:rsidRDefault="00260CF3">
      <w:pPr>
        <w:numPr>
          <w:ilvl w:val="0"/>
          <w:numId w:val="6"/>
        </w:numPr>
        <w:ind w:right="6" w:hanging="360"/>
      </w:pPr>
      <w:r>
        <w:t xml:space="preserve">As Mr </w:t>
      </w:r>
      <w:proofErr w:type="spellStart"/>
      <w:r>
        <w:t>Streeten</w:t>
      </w:r>
      <w:proofErr w:type="spellEnd"/>
      <w:r>
        <w:t xml:space="preserve"> acknowledged, Policy OE3 does not contain the concept of “very special circumstances” justifying “inappropriate development”. And he did not maintain the s</w:t>
      </w:r>
      <w:r>
        <w:t>uggestion in the company’s skeleton argument that the policy “prohibits inappropriate development in the Green Wedge”, submitting instead that it creates a “presumption” against development that would harm the “open character” – or “openness” – of the Gree</w:t>
      </w:r>
      <w:r>
        <w:t xml:space="preserve">n Wedge. If such development were tolerated, “openness” would be compromised and a precedent set – leading to “the death of a thousand cuts” referred to by Sullivan J. in </w:t>
      </w:r>
      <w:r>
        <w:rPr>
          <w:i/>
        </w:rPr>
        <w:t>Heath and Hampstead Society</w:t>
      </w:r>
      <w:r>
        <w:t xml:space="preserve"> (at paragraph 37). The only built development permissible</w:t>
      </w:r>
      <w:r>
        <w:t xml:space="preserve"> under Policy OE3, Mr </w:t>
      </w:r>
      <w:proofErr w:type="spellStart"/>
      <w:r>
        <w:t>Streeten</w:t>
      </w:r>
      <w:proofErr w:type="spellEnd"/>
      <w:r>
        <w:t xml:space="preserve"> argued, is development not caught by subparagraph </w:t>
      </w:r>
      <w:proofErr w:type="spellStart"/>
      <w:r>
        <w:t>i</w:t>
      </w:r>
      <w:proofErr w:type="spellEnd"/>
      <w:r>
        <w:t xml:space="preserve"> – development that does not affect the “predominantly open character” of the Green Wedges or reduce the physical separation between existing built-up areas. Such development</w:t>
      </w:r>
      <w:r>
        <w:t xml:space="preserve"> – for example, conversions, extensions, sports and recreation facilities – is not “inappropriate” and is permitted under subparagraph ii, subject to the criteria laid down.  </w:t>
      </w:r>
    </w:p>
    <w:p w14:paraId="5D170C97" w14:textId="77777777" w:rsidR="002F59C1" w:rsidRDefault="00260CF3">
      <w:pPr>
        <w:spacing w:after="0" w:line="259" w:lineRule="auto"/>
        <w:ind w:left="720" w:right="0" w:firstLine="0"/>
      </w:pPr>
      <w:r>
        <w:t xml:space="preserve"> </w:t>
      </w:r>
    </w:p>
    <w:p w14:paraId="584AF052" w14:textId="77777777" w:rsidR="002F59C1" w:rsidRDefault="00260CF3">
      <w:pPr>
        <w:numPr>
          <w:ilvl w:val="0"/>
          <w:numId w:val="6"/>
        </w:numPr>
        <w:ind w:right="6" w:hanging="360"/>
      </w:pPr>
      <w:r>
        <w:t xml:space="preserve">Mr </w:t>
      </w:r>
      <w:proofErr w:type="spellStart"/>
      <w:r>
        <w:t>Streeten</w:t>
      </w:r>
      <w:proofErr w:type="spellEnd"/>
      <w:r>
        <w:t xml:space="preserve"> submitted that the Interim Head of Planning had misinterpreted Pol</w:t>
      </w:r>
      <w:r>
        <w:t>icy OE3. The adverb “predominantly” in the expression “predominantly open character” does not allow the decision-maker to consider – as the officer did – whether a development, “in the main, would not unduly impact” on the predominantly open character of t</w:t>
      </w:r>
      <w:r>
        <w:t xml:space="preserve">he Green Wedge, or to consider whether a development would harm the “wider Green Wedge” by taking into account the proportion of land in the Green Wedge that would be affected (see </w:t>
      </w:r>
      <w:r>
        <w:rPr>
          <w:i/>
        </w:rPr>
        <w:t>R. (on the application of Irving) v Mid-Sussex District Council</w:t>
      </w:r>
      <w:r>
        <w:t xml:space="preserve"> [2016] P.T.</w:t>
      </w:r>
      <w:r>
        <w:t xml:space="preserve">S.R. 1365, at paragraphs 56 to 58). As was conceded below, the officer accepted there would be “harm” to the Green Wedge. Any such “harm” would be contrary to Policy OE3. </w:t>
      </w:r>
      <w:proofErr w:type="gramStart"/>
      <w:r>
        <w:t>So</w:t>
      </w:r>
      <w:proofErr w:type="gramEnd"/>
      <w:r>
        <w:t xml:space="preserve"> the proposal “necessarily conflicts” with the policy. This was the only rational c</w:t>
      </w:r>
      <w:r>
        <w:t xml:space="preserve">onclusion open to the members.  </w:t>
      </w:r>
    </w:p>
    <w:p w14:paraId="4DF2501B" w14:textId="77777777" w:rsidR="002F59C1" w:rsidRDefault="00260CF3">
      <w:pPr>
        <w:spacing w:after="0" w:line="259" w:lineRule="auto"/>
        <w:ind w:left="720" w:right="0" w:firstLine="0"/>
      </w:pPr>
      <w:r>
        <w:t xml:space="preserve"> </w:t>
      </w:r>
    </w:p>
    <w:p w14:paraId="63F7FF3D" w14:textId="77777777" w:rsidR="002F59C1" w:rsidRDefault="00260CF3">
      <w:pPr>
        <w:numPr>
          <w:ilvl w:val="0"/>
          <w:numId w:val="6"/>
        </w:numPr>
        <w:ind w:right="6" w:hanging="360"/>
      </w:pPr>
      <w:r>
        <w:t xml:space="preserve">Unlike the judge, I cannot accept that argument. In my view, the officer’s assessment of the proposal against the provisions of Policy OE3 was based on a correct interpretation of that policy, and the policy was lawfully </w:t>
      </w:r>
      <w:r>
        <w:t xml:space="preserve">applied in a sequence of rational and clearly reasoned conclusions. This is not one of those cases where a local planning authority has misunderstood a policy in its own development plan (see </w:t>
      </w:r>
      <w:r>
        <w:rPr>
          <w:i/>
        </w:rPr>
        <w:t>Corbett</w:t>
      </w:r>
      <w:r>
        <w:t xml:space="preserve">, at paragraphs 65 and 66). </w:t>
      </w:r>
    </w:p>
    <w:p w14:paraId="3C07A26C" w14:textId="77777777" w:rsidR="002F59C1" w:rsidRDefault="00260CF3">
      <w:pPr>
        <w:spacing w:after="0" w:line="259" w:lineRule="auto"/>
        <w:ind w:left="0" w:right="0" w:firstLine="0"/>
      </w:pPr>
      <w:r>
        <w:t xml:space="preserve"> </w:t>
      </w:r>
    </w:p>
    <w:p w14:paraId="0BEEEC38" w14:textId="77777777" w:rsidR="002F59C1" w:rsidRDefault="00260CF3">
      <w:pPr>
        <w:numPr>
          <w:ilvl w:val="0"/>
          <w:numId w:val="6"/>
        </w:numPr>
        <w:ind w:right="6" w:hanging="360"/>
      </w:pPr>
      <w:r>
        <w:t>In the supporting text for</w:t>
      </w:r>
      <w:r>
        <w:t xml:space="preserve"> Policy GEN2 the city’s hierarchy of “open land” is established. A distinction is drawn between the “very strong presumption” against built development in the Green Belt and the principle that built development will be “carefully controlled” in the Green W</w:t>
      </w:r>
      <w:r>
        <w:t>edges. Chapter 8 of the UDP contains separate and very differently framed policies for the Green Belt – Policy OE2; the Green Wedges – Policy OE3; and Green Space – Policy OE11. The divergent drafting of those three policies is deliberate. The strategic ob</w:t>
      </w:r>
      <w:r>
        <w:t xml:space="preserve">jectives in Policy GEN2 and its supporting text are translated into individual policies for three different types of “open land”. For each, a specific regime is laid down for </w:t>
      </w:r>
    </w:p>
    <w:p w14:paraId="67E8D1CB" w14:textId="77777777" w:rsidR="002F59C1" w:rsidRDefault="00260CF3">
      <w:pPr>
        <w:ind w:left="720" w:right="6" w:firstLine="0"/>
      </w:pPr>
      <w:r>
        <w:t xml:space="preserve">the making of development control decisions in which the relevant policy is engaged. The three policies set a descending scale of restriction, reflecting the hierarchy described in the text for Policy GEN2.  </w:t>
      </w:r>
    </w:p>
    <w:p w14:paraId="69C55473" w14:textId="77777777" w:rsidR="002F59C1" w:rsidRDefault="00260CF3">
      <w:pPr>
        <w:spacing w:after="0" w:line="259" w:lineRule="auto"/>
        <w:ind w:left="720" w:right="0" w:firstLine="0"/>
      </w:pPr>
      <w:r>
        <w:t xml:space="preserve"> </w:t>
      </w:r>
    </w:p>
    <w:p w14:paraId="5245BBB5" w14:textId="77777777" w:rsidR="002F59C1" w:rsidRDefault="00260CF3">
      <w:pPr>
        <w:numPr>
          <w:ilvl w:val="0"/>
          <w:numId w:val="6"/>
        </w:numPr>
        <w:ind w:right="6" w:hanging="360"/>
      </w:pPr>
      <w:r>
        <w:t>Policy OE2 is a classic Green Belt policy, br</w:t>
      </w:r>
      <w:r>
        <w:t>oadly consistent with national policy in the NPPF. It presumes strongly against proposals for new buildings in the Green Belt other than the five types of building specified, stating that the city council will not grant planning permission for the construc</w:t>
      </w:r>
      <w:r>
        <w:t>tion of new buildings “except in very special circumstances”. It also restricts the re-use and extension of buildings, so as to preserve the “openness of the Green Belt” and avoid conflict with “the purposes of including land within it”. It thus achieves t</w:t>
      </w:r>
      <w:r>
        <w:t xml:space="preserve">he “very strong presumption against built development” referred to in the text for Policy GEN2. </w:t>
      </w:r>
    </w:p>
    <w:p w14:paraId="583EF93A" w14:textId="77777777" w:rsidR="002F59C1" w:rsidRDefault="00260CF3">
      <w:pPr>
        <w:spacing w:after="0" w:line="259" w:lineRule="auto"/>
        <w:ind w:left="720" w:right="0" w:firstLine="0"/>
      </w:pPr>
      <w:r>
        <w:t xml:space="preserve"> </w:t>
      </w:r>
    </w:p>
    <w:p w14:paraId="02EC042F" w14:textId="77777777" w:rsidR="002F59C1" w:rsidRDefault="00260CF3">
      <w:pPr>
        <w:numPr>
          <w:ilvl w:val="0"/>
          <w:numId w:val="6"/>
        </w:numPr>
        <w:ind w:right="6" w:hanging="360"/>
      </w:pPr>
      <w:r>
        <w:t>Policy OE3 is not as restrictive a policy as Policy OE2. Though its supporting text says “[strict] control of development is required to protect the function</w:t>
      </w:r>
      <w:r>
        <w:t xml:space="preserve"> of Green Wedges”, the policy differs materially from government policy for the Green Belt in the NPPF, and is conspicuously unlike Policy OE2. It is not drafted in terms of a requirement for “very special circumstances” to be shown if planning permission </w:t>
      </w:r>
      <w:r>
        <w:t>is to be granted for the construction of new buildings outside specified exceptions. It does not state – nor does its text – a “very strong presumption against built development”. It is directed to achieving the city council’s objective stated in the openi</w:t>
      </w:r>
      <w:r>
        <w:t xml:space="preserve">ng words: to “protect and improve” four attributes of the Green Wedges – their “open character”, their “landscape”, their “recreational [quality]” and their “ecological quality”.  </w:t>
      </w:r>
    </w:p>
    <w:p w14:paraId="336937F2" w14:textId="77777777" w:rsidR="002F59C1" w:rsidRDefault="00260CF3">
      <w:pPr>
        <w:spacing w:after="0" w:line="259" w:lineRule="auto"/>
        <w:ind w:left="720" w:right="0" w:firstLine="0"/>
      </w:pPr>
      <w:r>
        <w:t xml:space="preserve"> </w:t>
      </w:r>
    </w:p>
    <w:p w14:paraId="66941395" w14:textId="77777777" w:rsidR="002F59C1" w:rsidRDefault="00260CF3">
      <w:pPr>
        <w:numPr>
          <w:ilvl w:val="0"/>
          <w:numId w:val="6"/>
        </w:numPr>
        <w:ind w:right="6" w:hanging="360"/>
      </w:pPr>
      <w:r>
        <w:t>The three subparagraphs following those opening words explain how the cit</w:t>
      </w:r>
      <w:r>
        <w:t xml:space="preserve">y council will achieve that objective. Subparagraph </w:t>
      </w:r>
      <w:proofErr w:type="spellStart"/>
      <w:r>
        <w:t>i</w:t>
      </w:r>
      <w:proofErr w:type="spellEnd"/>
      <w:r>
        <w:t xml:space="preserve"> is a general requirement. It relates simply to “new development” – which includes buildings. It does not say that planning permission will be refused for all “new development” in a Green Wedge, or for a</w:t>
      </w:r>
      <w:r>
        <w:t>ll new “built development”, or that only development within certain exceptions will be approved, or that development outside those exceptions will only be approved if “very special circumstances” are demonstrated. Had any such prohibition or restriction be</w:t>
      </w:r>
      <w:r>
        <w:t xml:space="preserve">en intended, this part of the policy would not have been expressed as it is. On a straightforward reading of the words the city council has used as policy-maker, subparagraph </w:t>
      </w:r>
      <w:proofErr w:type="spellStart"/>
      <w:r>
        <w:t>i</w:t>
      </w:r>
      <w:proofErr w:type="spellEnd"/>
      <w:r>
        <w:t xml:space="preserve"> poses two questions for it as decisionmaker: first, whether the development pro</w:t>
      </w:r>
      <w:r>
        <w:t xml:space="preserve">posed would “affect the predominantly open character” of the Green Wedge in which it would be located; and secondly, whether it would “reduce the physical separation between existing built up areas”. </w:t>
      </w:r>
    </w:p>
    <w:p w14:paraId="59C035B6" w14:textId="77777777" w:rsidR="002F59C1" w:rsidRDefault="00260CF3">
      <w:pPr>
        <w:spacing w:after="0" w:line="259" w:lineRule="auto"/>
        <w:ind w:left="720" w:right="0" w:firstLine="0"/>
      </w:pPr>
      <w:r>
        <w:t xml:space="preserve"> </w:t>
      </w:r>
    </w:p>
    <w:p w14:paraId="3DD96740" w14:textId="77777777" w:rsidR="002F59C1" w:rsidRDefault="00260CF3">
      <w:pPr>
        <w:numPr>
          <w:ilvl w:val="0"/>
          <w:numId w:val="6"/>
        </w:numPr>
        <w:ind w:right="6" w:hanging="360"/>
      </w:pPr>
      <w:r>
        <w:t>That second question is largely a question of fact. The first, however, is quintessentially a matter of planning judgment. The “predominantly open character” of a Green Wedge is itself</w:t>
      </w:r>
      <w:r>
        <w:rPr>
          <w:b/>
        </w:rPr>
        <w:t xml:space="preserve"> </w:t>
      </w:r>
      <w:r>
        <w:t>something for the decision-maker to judge. This is, as Mr Tucker put it</w:t>
      </w:r>
      <w:r>
        <w:t>, a “qualified” concept. Implicit in it is a recognition that the Green Wedges, as designated, were by no means free from built development. The task given to the decision-maker is to consider the likely consequences of the proposed development for that “p</w:t>
      </w:r>
      <w:r>
        <w:t xml:space="preserve">redominantly open character”. Subparagraph </w:t>
      </w:r>
      <w:proofErr w:type="spellStart"/>
      <w:r>
        <w:t>i</w:t>
      </w:r>
      <w:proofErr w:type="spellEnd"/>
      <w:r>
        <w:t xml:space="preserve"> does not rule out any reduction, or net reduction, in unbuilt</w:t>
      </w:r>
      <w:r>
        <w:rPr>
          <w:b/>
        </w:rPr>
        <w:t>-</w:t>
      </w:r>
      <w:r>
        <w:t>upon land within a Green Wedge – a reading of Policy OE3 that would render it even more restrictive than policy for the Green Belt. Under this provis</w:t>
      </w:r>
      <w:r>
        <w:t>ion, as Mr Tucker argued, the mere fact of an increase in built development does not mean that the development proposed will necessarily have an unacceptable impact on the “predominantly open character” of the Green Wedge, and so be contrary to the policy.</w:t>
      </w:r>
      <w:r>
        <w:t xml:space="preserve"> Some physical change of that kind is allowed for – possibly, as here, through the removal of existing development and its replacement with new buildings – so long as the impact on the “predominantly open character” of the Green Wedge is not, in the decisi</w:t>
      </w:r>
      <w:r>
        <w:t xml:space="preserve">on-maker’s planning judgment, unacceptable, having regard to the objectives of the policy.  </w:t>
      </w:r>
    </w:p>
    <w:p w14:paraId="585ADDD0" w14:textId="77777777" w:rsidR="002F59C1" w:rsidRDefault="00260CF3">
      <w:pPr>
        <w:spacing w:after="0" w:line="259" w:lineRule="auto"/>
        <w:ind w:left="720" w:right="0" w:firstLine="0"/>
      </w:pPr>
      <w:r>
        <w:t xml:space="preserve"> </w:t>
      </w:r>
    </w:p>
    <w:p w14:paraId="30FC4D0E" w14:textId="77777777" w:rsidR="002F59C1" w:rsidRDefault="00260CF3">
      <w:pPr>
        <w:numPr>
          <w:ilvl w:val="0"/>
          <w:numId w:val="6"/>
        </w:numPr>
        <w:ind w:right="6" w:hanging="360"/>
      </w:pPr>
      <w:r>
        <w:t>When the city council is considering whether a development would “affect the predominantly open character” of a Green Wedge, the planning judgment required is no</w:t>
      </w:r>
      <w:r>
        <w:t xml:space="preserve">t limited by Policy OE3 to a consideration of its physical or spatial effects alone, excluding visual impact. Whether it would “affect the predominantly open character” is not an automatic result of its physical presence in the Green Wedge, or of the fact </w:t>
      </w:r>
      <w:r>
        <w:t>that it will be visible. What is required is a realistic assessment of the impact that this development, on this site, and in its own surroundings, will have on the “the predominantly open character” of the Green Wedge. Whether that impact is acceptable, o</w:t>
      </w:r>
      <w:r>
        <w:t xml:space="preserve">r not, is for the city council to judge, as decision-maker.  </w:t>
      </w:r>
    </w:p>
    <w:p w14:paraId="5A24D96B" w14:textId="77777777" w:rsidR="002F59C1" w:rsidRDefault="00260CF3">
      <w:pPr>
        <w:spacing w:after="0" w:line="259" w:lineRule="auto"/>
        <w:ind w:left="0" w:right="0" w:firstLine="0"/>
      </w:pPr>
      <w:r>
        <w:t xml:space="preserve"> </w:t>
      </w:r>
    </w:p>
    <w:p w14:paraId="52B5B4B6" w14:textId="77777777" w:rsidR="002F59C1" w:rsidRDefault="00260CF3">
      <w:pPr>
        <w:numPr>
          <w:ilvl w:val="0"/>
          <w:numId w:val="6"/>
        </w:numPr>
        <w:ind w:right="6" w:hanging="360"/>
      </w:pPr>
      <w:r>
        <w:t xml:space="preserve">Subparagraph ii relates explicitly to “built development”. Its inclusion in the policy goes to confirm the interpretation of subparagraph </w:t>
      </w:r>
      <w:proofErr w:type="spellStart"/>
      <w:r>
        <w:t>i</w:t>
      </w:r>
      <w:proofErr w:type="spellEnd"/>
      <w:r>
        <w:t xml:space="preserve"> that I think is correct. If subparagraph </w:t>
      </w:r>
      <w:proofErr w:type="spellStart"/>
      <w:r>
        <w:t>i</w:t>
      </w:r>
      <w:proofErr w:type="spellEnd"/>
      <w:r>
        <w:t>, or any o</w:t>
      </w:r>
      <w:r>
        <w:t xml:space="preserve">ther part of Policy OE3, had been intended to preclude – or “prohibit” – the construction of new buildings in a Green Wedge, there would have been no need to insert a provision setting out criteria for judging the acceptability of “built development”. And </w:t>
      </w:r>
      <w:r>
        <w:t xml:space="preserve">the reference to the “conversion or extension” of buildings being included is not to limit the scope of potentially acceptable “built development” to such development, but to make clear that this provision relates to all “new built development”, including </w:t>
      </w:r>
      <w:r>
        <w:t xml:space="preserve">conversions and extensions to existing buildings. </w:t>
      </w:r>
    </w:p>
    <w:p w14:paraId="1FE297F7" w14:textId="77777777" w:rsidR="002F59C1" w:rsidRDefault="00260CF3">
      <w:pPr>
        <w:spacing w:after="0" w:line="259" w:lineRule="auto"/>
        <w:ind w:left="720" w:right="0" w:firstLine="0"/>
      </w:pPr>
      <w:r>
        <w:t xml:space="preserve"> </w:t>
      </w:r>
    </w:p>
    <w:p w14:paraId="52EC9D25" w14:textId="77777777" w:rsidR="002F59C1" w:rsidRDefault="00260CF3">
      <w:pPr>
        <w:numPr>
          <w:ilvl w:val="0"/>
          <w:numId w:val="6"/>
        </w:numPr>
        <w:ind w:right="6" w:hanging="360"/>
      </w:pPr>
      <w:r>
        <w:t xml:space="preserve">Where the proposal is for “built development”, the requirements in subparagraph ii are in play, as well as the restrictions in subparagraph </w:t>
      </w:r>
      <w:proofErr w:type="spellStart"/>
      <w:r>
        <w:t>i</w:t>
      </w:r>
      <w:proofErr w:type="spellEnd"/>
      <w:r>
        <w:t>. If a proposed “built development” does not offend subparagra</w:t>
      </w:r>
      <w:r>
        <w:t xml:space="preserve">ph </w:t>
      </w:r>
      <w:proofErr w:type="spellStart"/>
      <w:r>
        <w:t>i</w:t>
      </w:r>
      <w:proofErr w:type="spellEnd"/>
      <w:r>
        <w:t>, it must also satisfy the four criteria in subparagraph ii, and the further criteria for “a high quality of design” in Policy HD18. The first criterion in subparagraph ii, that regard is had to “the openness of the Green Wedge and the purposes of incl</w:t>
      </w:r>
      <w:r>
        <w:t xml:space="preserve">uding land within it”, reinforces the protection for the “predominantly open character” of the Green Wedge in subparagraph </w:t>
      </w:r>
      <w:proofErr w:type="spellStart"/>
      <w:r>
        <w:t>i</w:t>
      </w:r>
      <w:proofErr w:type="spellEnd"/>
      <w:r>
        <w:t>. In this way Policy OE3 achieves the relevant objective in the supporting text to Policy GEN2 – that “[built] development will … be</w:t>
      </w:r>
      <w:r>
        <w:t xml:space="preserve"> carefully controlled in the Green Wedges …”. </w:t>
      </w:r>
    </w:p>
    <w:p w14:paraId="5A557A0B" w14:textId="77777777" w:rsidR="002F59C1" w:rsidRDefault="00260CF3">
      <w:pPr>
        <w:spacing w:after="0" w:line="259" w:lineRule="auto"/>
        <w:ind w:left="720" w:right="0" w:firstLine="0"/>
      </w:pPr>
      <w:r>
        <w:t xml:space="preserve"> </w:t>
      </w:r>
    </w:p>
    <w:p w14:paraId="1C37DD87" w14:textId="77777777" w:rsidR="002F59C1" w:rsidRDefault="00260CF3">
      <w:pPr>
        <w:numPr>
          <w:ilvl w:val="0"/>
          <w:numId w:val="6"/>
        </w:numPr>
        <w:spacing w:after="0" w:line="238" w:lineRule="auto"/>
        <w:ind w:right="6" w:hanging="360"/>
      </w:pPr>
      <w:r>
        <w:t xml:space="preserve">I should add that I see no distinction between the concept of “predominantly open character” in subparagraph </w:t>
      </w:r>
      <w:proofErr w:type="spellStart"/>
      <w:r>
        <w:t>i</w:t>
      </w:r>
      <w:proofErr w:type="spellEnd"/>
      <w:r>
        <w:t xml:space="preserve"> and the concept of “openness” in the context of subparagraph ii.   </w:t>
      </w:r>
    </w:p>
    <w:p w14:paraId="263A3C3E" w14:textId="77777777" w:rsidR="002F59C1" w:rsidRDefault="00260CF3">
      <w:pPr>
        <w:spacing w:after="0" w:line="259" w:lineRule="auto"/>
        <w:ind w:left="720" w:right="0" w:firstLine="0"/>
      </w:pPr>
      <w:r>
        <w:t xml:space="preserve"> </w:t>
      </w:r>
    </w:p>
    <w:p w14:paraId="2325D2D8" w14:textId="77777777" w:rsidR="002F59C1" w:rsidRDefault="00260CF3">
      <w:pPr>
        <w:numPr>
          <w:ilvl w:val="0"/>
          <w:numId w:val="6"/>
        </w:numPr>
        <w:ind w:right="6" w:hanging="360"/>
      </w:pPr>
      <w:r>
        <w:t>Subparagraph iii relates s</w:t>
      </w:r>
      <w:r>
        <w:t xml:space="preserve">pecifically to land owned by the city council in the Green Wedges, and, where it is relevant, applies in addition to subparagraphs </w:t>
      </w:r>
      <w:proofErr w:type="spellStart"/>
      <w:r>
        <w:t>i</w:t>
      </w:r>
      <w:proofErr w:type="spellEnd"/>
      <w:r>
        <w:t xml:space="preserve"> and ii. </w:t>
      </w:r>
    </w:p>
    <w:p w14:paraId="7D166468" w14:textId="77777777" w:rsidR="002F59C1" w:rsidRDefault="00260CF3">
      <w:pPr>
        <w:spacing w:after="0" w:line="259" w:lineRule="auto"/>
        <w:ind w:left="720" w:right="0" w:firstLine="0"/>
      </w:pPr>
      <w:r>
        <w:t xml:space="preserve"> </w:t>
      </w:r>
    </w:p>
    <w:p w14:paraId="5F16F5F8" w14:textId="77777777" w:rsidR="002F59C1" w:rsidRDefault="00260CF3">
      <w:pPr>
        <w:numPr>
          <w:ilvl w:val="0"/>
          <w:numId w:val="6"/>
        </w:numPr>
        <w:ind w:right="6" w:hanging="360"/>
      </w:pPr>
      <w:r>
        <w:t xml:space="preserve">On a fair reading of the officer’s reports, I see no basis for contending that the city council failed to interpret Policy OE3 correctly when making its decisions on the two proposals. </w:t>
      </w:r>
    </w:p>
    <w:p w14:paraId="0EE7259B" w14:textId="77777777" w:rsidR="002F59C1" w:rsidRDefault="00260CF3">
      <w:pPr>
        <w:spacing w:after="0" w:line="259" w:lineRule="auto"/>
        <w:ind w:left="0" w:right="0" w:firstLine="0"/>
      </w:pPr>
      <w:r>
        <w:t xml:space="preserve"> </w:t>
      </w:r>
    </w:p>
    <w:p w14:paraId="549A5E1C" w14:textId="77777777" w:rsidR="002F59C1" w:rsidRDefault="00260CF3">
      <w:pPr>
        <w:numPr>
          <w:ilvl w:val="0"/>
          <w:numId w:val="6"/>
        </w:numPr>
        <w:ind w:right="6" w:hanging="360"/>
      </w:pPr>
      <w:r>
        <w:t>The officer worked through the requisite series of planning judgment</w:t>
      </w:r>
      <w:r>
        <w:t xml:space="preserve">s, tracking the provisions of the policy. He began by applying subparagraph </w:t>
      </w:r>
      <w:proofErr w:type="spellStart"/>
      <w:r>
        <w:t>i</w:t>
      </w:r>
      <w:proofErr w:type="spellEnd"/>
      <w:r>
        <w:t xml:space="preserve">. He reminded the committee of the two interests that this part of the policy is meant to protect, including the </w:t>
      </w:r>
    </w:p>
    <w:p w14:paraId="411937DB" w14:textId="77777777" w:rsidR="002F59C1" w:rsidRDefault="00260CF3">
      <w:pPr>
        <w:ind w:left="720" w:right="6" w:firstLine="0"/>
      </w:pPr>
      <w:r>
        <w:t>“predominantly open character” of the Green Wedge. He directed hi</w:t>
      </w:r>
      <w:r>
        <w:t>mself, rightly, that it was necessary to consider the impact of the development on the Green Wedge “as a whole”. In doing this, he had in mind the area of the site and the proportion of the Green Wedge it represents. There is nothing in the policy to sugge</w:t>
      </w:r>
      <w:r>
        <w:t xml:space="preserve">st this was an irrelevant consideration in assessing the acceptability of the impact on the Green Wedge “as a whole”. In having regard to it the officer did not commit the kind of error that occurred in </w:t>
      </w:r>
      <w:r>
        <w:rPr>
          <w:i/>
        </w:rPr>
        <w:t>Irving</w:t>
      </w:r>
      <w:r>
        <w:t>, where harm to only to a small part of a conse</w:t>
      </w:r>
      <w:r>
        <w:t xml:space="preserve">rvation area was seen as of no potential significance to the preservation of its character and appearance (see the judgment of </w:t>
      </w:r>
      <w:proofErr w:type="spellStart"/>
      <w:r>
        <w:t>Gilbart</w:t>
      </w:r>
      <w:proofErr w:type="spellEnd"/>
      <w:r>
        <w:t xml:space="preserve"> J., at paragraph 58). He also took into account the particular characteristics of this portion of the Green Wedge, includ</w:t>
      </w:r>
      <w:r>
        <w:t>ing “</w:t>
      </w:r>
      <w:proofErr w:type="spellStart"/>
      <w:r>
        <w:t>its</w:t>
      </w:r>
      <w:proofErr w:type="spellEnd"/>
      <w:r>
        <w:t xml:space="preserve"> more developed nature containing substantial physical structures”, and its “openness” being “already somewhat compromised”.  </w:t>
      </w:r>
    </w:p>
    <w:p w14:paraId="7F80A4AC" w14:textId="77777777" w:rsidR="002F59C1" w:rsidRDefault="00260CF3">
      <w:pPr>
        <w:spacing w:after="0" w:line="259" w:lineRule="auto"/>
        <w:ind w:left="720" w:right="0" w:firstLine="0"/>
      </w:pPr>
      <w:r>
        <w:t xml:space="preserve"> </w:t>
      </w:r>
    </w:p>
    <w:p w14:paraId="053A4BB4" w14:textId="77777777" w:rsidR="002F59C1" w:rsidRDefault="00260CF3">
      <w:pPr>
        <w:numPr>
          <w:ilvl w:val="0"/>
          <w:numId w:val="6"/>
        </w:numPr>
        <w:ind w:right="6" w:hanging="360"/>
      </w:pPr>
      <w:r>
        <w:t xml:space="preserve">In coming to his conclusion on the proposal’s compliance with subparagraph </w:t>
      </w:r>
      <w:proofErr w:type="spellStart"/>
      <w:r>
        <w:t>i</w:t>
      </w:r>
      <w:proofErr w:type="spellEnd"/>
      <w:r>
        <w:t>, he assessed the impact on “the predominan</w:t>
      </w:r>
      <w:r>
        <w:t xml:space="preserve">tly open character of </w:t>
      </w:r>
      <w:r>
        <w:rPr>
          <w:u w:val="single" w:color="000000"/>
        </w:rPr>
        <w:t>the wider Green Wedge</w:t>
      </w:r>
      <w:r>
        <w:t xml:space="preserve">” (my emphasis). This was a matter of planning judgment for him, and ultimately for the committee itself. Ingredients in that planning judgment were the “specific characteristics of this part of the Green Wedge”, </w:t>
      </w:r>
      <w:r>
        <w:t>its “size in comparison to the wider Green Wedge area”, and the fact that the proposal was for a “redevelopment” of the site, by the construction of “dwellings that have spacious areas around them, in the main” – a point repeated in the officer’s later obs</w:t>
      </w:r>
      <w:r>
        <w:t xml:space="preserve">ervation that “the scheme has been designed in the main to have properties with large rear gardens …”. These were all legitimate factors to take into account in judging whether the proposal was in accord with subparagraph </w:t>
      </w:r>
      <w:proofErr w:type="spellStart"/>
      <w:r>
        <w:t>i</w:t>
      </w:r>
      <w:proofErr w:type="spellEnd"/>
      <w:r>
        <w:t>. Indeed, I think the officer wou</w:t>
      </w:r>
      <w:r>
        <w:t xml:space="preserve">ld have been at fault if he had not done this. </w:t>
      </w:r>
    </w:p>
    <w:p w14:paraId="2876FD8D" w14:textId="77777777" w:rsidR="002F59C1" w:rsidRDefault="00260CF3">
      <w:pPr>
        <w:spacing w:after="0" w:line="259" w:lineRule="auto"/>
        <w:ind w:left="720" w:right="0" w:firstLine="0"/>
      </w:pPr>
      <w:r>
        <w:t xml:space="preserve"> </w:t>
      </w:r>
    </w:p>
    <w:p w14:paraId="77E9D6CC" w14:textId="77777777" w:rsidR="002F59C1" w:rsidRDefault="00260CF3">
      <w:pPr>
        <w:numPr>
          <w:ilvl w:val="0"/>
          <w:numId w:val="6"/>
        </w:numPr>
        <w:ind w:right="6" w:hanging="360"/>
      </w:pPr>
      <w:r>
        <w:t xml:space="preserve">The officer’s decisive planning judgment was unimpeachable. It dealt squarely with the requirements of subparagraph </w:t>
      </w:r>
      <w:proofErr w:type="spellStart"/>
      <w:r>
        <w:t>i</w:t>
      </w:r>
      <w:proofErr w:type="spellEnd"/>
      <w:r>
        <w:t>. It was expressed in two linked propositions: first, that the development “would not und</w:t>
      </w:r>
      <w:r>
        <w:t>uly impact on the predominantly open character of the wider Green Wedge”, and second, that “[in] this respect, … the proposal would not conflict with the aims and objectives of part (</w:t>
      </w:r>
      <w:proofErr w:type="spellStart"/>
      <w:r>
        <w:t>i</w:t>
      </w:r>
      <w:proofErr w:type="spellEnd"/>
      <w:r>
        <w:t>) of Saved Policy OE3”. This is a clear, reasonable and lawful conclusio</w:t>
      </w:r>
      <w:r>
        <w:t xml:space="preserve">n on the proposal’s compliance with subparagraph </w:t>
      </w:r>
      <w:proofErr w:type="spellStart"/>
      <w:r>
        <w:t>i</w:t>
      </w:r>
      <w:proofErr w:type="spellEnd"/>
      <w:r>
        <w:t>. It embodies a legitimate planning judgment, based on a true understanding of the policy. The officer faced the crucial question: whether the impact the proposed development would have on the “predominantl</w:t>
      </w:r>
      <w:r>
        <w:t xml:space="preserve">y open character” of the Green Wedge was acceptable. He found it was acceptable, and the proposal compliant with subparagraph </w:t>
      </w:r>
      <w:proofErr w:type="spellStart"/>
      <w:r>
        <w:t>i</w:t>
      </w:r>
      <w:proofErr w:type="spellEnd"/>
      <w:r>
        <w:t>. This conclusion was confirmed when he went on to say that there would be “no significant impact on the character or openness of</w:t>
      </w:r>
      <w:r>
        <w:t xml:space="preserve"> the wider Green Wedge/Green Space …”, and that he was “satisfied that the proposed development does not constitute a departure from the UDP in relation to saved policies OE3 and OE11, given it is considered that there will only be limited impacts”. And it</w:t>
      </w:r>
      <w:r>
        <w:t xml:space="preserve"> was also embraced in the “Conclusion” of the report, where he said that “the proposal accords with … the relevant development plan policies …”.  </w:t>
      </w:r>
    </w:p>
    <w:p w14:paraId="60E24260" w14:textId="77777777" w:rsidR="002F59C1" w:rsidRDefault="00260CF3">
      <w:pPr>
        <w:spacing w:after="0" w:line="259" w:lineRule="auto"/>
        <w:ind w:left="720" w:right="0" w:firstLine="0"/>
      </w:pPr>
      <w:r>
        <w:t xml:space="preserve"> </w:t>
      </w:r>
      <w:r>
        <w:tab/>
        <w:t xml:space="preserve"> </w:t>
      </w:r>
    </w:p>
    <w:p w14:paraId="631936DD" w14:textId="77777777" w:rsidR="002F59C1" w:rsidRDefault="00260CF3">
      <w:pPr>
        <w:numPr>
          <w:ilvl w:val="0"/>
          <w:numId w:val="6"/>
        </w:numPr>
        <w:ind w:right="6" w:hanging="360"/>
      </w:pPr>
      <w:r>
        <w:t>The rest of the officer’s conclusions in applying Policy OE3 are also beyond criticism. He did not make t</w:t>
      </w:r>
      <w:r>
        <w:t xml:space="preserve">he mistake of thinking that subparagraph ii operates instead of subparagraph </w:t>
      </w:r>
      <w:proofErr w:type="spellStart"/>
      <w:r>
        <w:t>i</w:t>
      </w:r>
      <w:proofErr w:type="spellEnd"/>
      <w:r>
        <w:t xml:space="preserve"> where the proposal is for “built development”, or that compliance with one of these subparagraphs is enough to satisfy the requirements of the other. He did not sidestep either </w:t>
      </w:r>
      <w:r>
        <w:t xml:space="preserve">provision. He applied both. Having concluded as he did on the proposal’s compliance with subparagraph </w:t>
      </w:r>
      <w:proofErr w:type="spellStart"/>
      <w:r>
        <w:t>i</w:t>
      </w:r>
      <w:proofErr w:type="spellEnd"/>
      <w:r>
        <w:t>, he then considered whether it complied also with the criteria specifically for “built development” in subparagraph ii. He went one by one through those</w:t>
      </w:r>
      <w:r>
        <w:t xml:space="preserve"> criteria, and the relevant criteria in paragraph 8.25, and found each of them satisfied. None of the planning judgments in this part of his assessment shows any error of law. The same may also be said of his conclusions on the proposal’s compliance with s</w:t>
      </w:r>
      <w:r>
        <w:t xml:space="preserve">ubparagraph iii. </w:t>
      </w:r>
    </w:p>
    <w:p w14:paraId="595A9BE4" w14:textId="77777777" w:rsidR="002F59C1" w:rsidRDefault="00260CF3">
      <w:pPr>
        <w:spacing w:after="0" w:line="259" w:lineRule="auto"/>
        <w:ind w:left="720" w:right="0" w:firstLine="0"/>
      </w:pPr>
      <w:r>
        <w:t xml:space="preserve"> </w:t>
      </w:r>
    </w:p>
    <w:p w14:paraId="041B7158" w14:textId="77777777" w:rsidR="002F59C1" w:rsidRDefault="00260CF3">
      <w:pPr>
        <w:numPr>
          <w:ilvl w:val="0"/>
          <w:numId w:val="6"/>
        </w:numPr>
        <w:ind w:right="6" w:hanging="360"/>
      </w:pPr>
      <w:r>
        <w:t xml:space="preserve">No error is alleged in the interpretation and application of Policy OE11, and I can see none. </w:t>
      </w:r>
    </w:p>
    <w:p w14:paraId="2BD7E595" w14:textId="77777777" w:rsidR="002F59C1" w:rsidRDefault="00260CF3">
      <w:pPr>
        <w:spacing w:after="0" w:line="259" w:lineRule="auto"/>
        <w:ind w:left="720" w:right="0" w:firstLine="0"/>
      </w:pPr>
      <w:r>
        <w:t xml:space="preserve"> </w:t>
      </w:r>
    </w:p>
    <w:p w14:paraId="148F49D7" w14:textId="77777777" w:rsidR="002F59C1" w:rsidRDefault="00260CF3">
      <w:pPr>
        <w:numPr>
          <w:ilvl w:val="0"/>
          <w:numId w:val="6"/>
        </w:numPr>
        <w:ind w:right="6" w:hanging="360"/>
      </w:pPr>
      <w:r>
        <w:t xml:space="preserve">On this ground, therefore, I think the appeal is good.  </w:t>
      </w:r>
    </w:p>
    <w:p w14:paraId="5810863C" w14:textId="77777777" w:rsidR="002F59C1" w:rsidRDefault="00260CF3">
      <w:pPr>
        <w:spacing w:after="0" w:line="259" w:lineRule="auto"/>
        <w:ind w:left="360" w:right="0" w:firstLine="0"/>
      </w:pPr>
      <w:r>
        <w:rPr>
          <w:i/>
        </w:rPr>
        <w:t xml:space="preserve"> </w:t>
      </w:r>
    </w:p>
    <w:p w14:paraId="0CFA906E" w14:textId="77777777" w:rsidR="002F59C1" w:rsidRDefault="00260CF3">
      <w:pPr>
        <w:spacing w:after="0" w:line="259" w:lineRule="auto"/>
        <w:ind w:left="360" w:right="0" w:firstLine="0"/>
      </w:pPr>
      <w:r>
        <w:rPr>
          <w:i/>
        </w:rPr>
        <w:t xml:space="preserve"> </w:t>
      </w:r>
    </w:p>
    <w:p w14:paraId="03837D45" w14:textId="77777777" w:rsidR="002F59C1" w:rsidRDefault="00260CF3">
      <w:pPr>
        <w:spacing w:after="0" w:line="259" w:lineRule="auto"/>
        <w:ind w:left="355" w:right="0" w:hanging="10"/>
      </w:pPr>
      <w:r>
        <w:rPr>
          <w:i/>
        </w:rPr>
        <w:t>Did the city council fail to apply the duty in section 66(1) of the Listed Bui</w:t>
      </w:r>
      <w:r>
        <w:rPr>
          <w:i/>
        </w:rPr>
        <w:t>ldings Act?</w:t>
      </w:r>
      <w:r>
        <w:t xml:space="preserve"> </w:t>
      </w:r>
    </w:p>
    <w:p w14:paraId="6669611C" w14:textId="77777777" w:rsidR="002F59C1" w:rsidRDefault="00260CF3">
      <w:pPr>
        <w:spacing w:after="0" w:line="259" w:lineRule="auto"/>
        <w:ind w:left="720" w:right="0" w:firstLine="0"/>
      </w:pPr>
      <w:r>
        <w:t xml:space="preserve"> </w:t>
      </w:r>
    </w:p>
    <w:p w14:paraId="73BF4CFB" w14:textId="77777777" w:rsidR="002F59C1" w:rsidRDefault="00260CF3">
      <w:pPr>
        <w:numPr>
          <w:ilvl w:val="0"/>
          <w:numId w:val="6"/>
        </w:numPr>
        <w:ind w:right="6" w:hanging="360"/>
      </w:pPr>
      <w:r>
        <w:t xml:space="preserve">Section 66 of the Listed Buildings Act provides the “[general] duty as respects listed buildings in exercise of planning functions”. Subsection (1) states: </w:t>
      </w:r>
    </w:p>
    <w:p w14:paraId="0CF922E9" w14:textId="77777777" w:rsidR="002F59C1" w:rsidRDefault="00260CF3">
      <w:pPr>
        <w:spacing w:after="0" w:line="259" w:lineRule="auto"/>
        <w:ind w:left="1440" w:right="0" w:firstLine="0"/>
      </w:pPr>
      <w:r>
        <w:t xml:space="preserve"> </w:t>
      </w:r>
    </w:p>
    <w:p w14:paraId="4CBD0382" w14:textId="77777777" w:rsidR="002F59C1" w:rsidRDefault="00260CF3">
      <w:pPr>
        <w:ind w:left="1440" w:right="6" w:hanging="446"/>
      </w:pPr>
      <w:r>
        <w:t>“(1) In considering whether to grant planning permission or permission in principle for developme</w:t>
      </w:r>
      <w:r>
        <w:t xml:space="preserve">nt which affects a listed building or its setting, the local planning authority or, as the case may be, the Secretary of State shall have special regard to the desirability of preserving the building or its setting or any features of special architectural </w:t>
      </w:r>
      <w:r>
        <w:t xml:space="preserve">or historic interest which it possesses.”  </w:t>
      </w:r>
    </w:p>
    <w:p w14:paraId="0A3C7B48" w14:textId="77777777" w:rsidR="002F59C1" w:rsidRDefault="00260CF3">
      <w:pPr>
        <w:spacing w:after="0" w:line="259" w:lineRule="auto"/>
        <w:ind w:left="1339" w:right="0" w:firstLine="0"/>
      </w:pPr>
      <w:r>
        <w:t xml:space="preserve"> </w:t>
      </w:r>
    </w:p>
    <w:p w14:paraId="4D521F98" w14:textId="77777777" w:rsidR="002F59C1" w:rsidRDefault="00260CF3">
      <w:pPr>
        <w:numPr>
          <w:ilvl w:val="0"/>
          <w:numId w:val="6"/>
        </w:numPr>
        <w:ind w:right="6" w:hanging="360"/>
      </w:pPr>
      <w:r>
        <w:t>There are several decisions of this court on the effect of the duty in section 66(1). There is also authority on the parallel duty, in section 72, for development affecting conservation areas, including the Hou</w:t>
      </w:r>
      <w:r>
        <w:t xml:space="preserve">se of Lords’ decision in </w:t>
      </w:r>
      <w:r>
        <w:rPr>
          <w:i/>
        </w:rPr>
        <w:t xml:space="preserve">South Lakeland District Council v </w:t>
      </w:r>
    </w:p>
    <w:p w14:paraId="6292EB06" w14:textId="77777777" w:rsidR="002F59C1" w:rsidRDefault="00260CF3">
      <w:pPr>
        <w:ind w:left="720" w:right="6" w:firstLine="0"/>
      </w:pPr>
      <w:r>
        <w:rPr>
          <w:i/>
        </w:rPr>
        <w:t xml:space="preserve">Secretary of State for the Environment </w:t>
      </w:r>
      <w:r>
        <w:t xml:space="preserve">[1992] 2 A.C. 141, and the decision of this court in </w:t>
      </w:r>
      <w:r>
        <w:rPr>
          <w:i/>
        </w:rPr>
        <w:t xml:space="preserve">The Bath Society v Secretary of State for the Environment </w:t>
      </w:r>
      <w:r>
        <w:t>[1991] 1 W.L.R. 1303. The essential principles</w:t>
      </w:r>
      <w:r>
        <w:t xml:space="preserve"> are set out by Sullivan L.J., with whom Maurice Kay and Rafferty L.J. agreed, in </w:t>
      </w:r>
      <w:r>
        <w:rPr>
          <w:i/>
        </w:rPr>
        <w:t>East Northamptonshire District Council v Secretary of State for Communities and Local Government</w:t>
      </w:r>
      <w:r>
        <w:t xml:space="preserve"> [2015] 1 W.L.R. 45. In Sullivan L.J.’s view, Glidewell L.J.’s judgment in</w:t>
      </w:r>
      <w:r>
        <w:rPr>
          <w:i/>
        </w:rPr>
        <w:t xml:space="preserve"> The</w:t>
      </w:r>
      <w:r>
        <w:rPr>
          <w:i/>
        </w:rPr>
        <w:t xml:space="preserve"> Bath Society</w:t>
      </w:r>
      <w:r>
        <w:t xml:space="preserve"> was “authority for the proposition that a finding of harm to the setting of a listed building is a consideration to which the decision-maker must give </w:t>
      </w:r>
    </w:p>
    <w:p w14:paraId="394F3918" w14:textId="77777777" w:rsidR="002F59C1" w:rsidRDefault="00260CF3">
      <w:pPr>
        <w:ind w:left="720" w:right="6" w:firstLine="0"/>
      </w:pPr>
      <w:r>
        <w:t xml:space="preserve">‘considerable importance and weight’” (paragraph 22). Lord Bridge’s observation in </w:t>
      </w:r>
      <w:r>
        <w:rPr>
          <w:i/>
        </w:rPr>
        <w:t>South Lakeland</w:t>
      </w:r>
      <w:r>
        <w:t xml:space="preserve"> (at p.146E-G) that there will be a “strong presumption” against granting permission for development that would harm the character or appearance of a conservat</w:t>
      </w:r>
      <w:r>
        <w:t>ion area was consistent with the approach Glidewell L.J. had indicated (paragraph 23). The section 66(1) duty “requires considerable weight to be given by decision-makers to the desirability of preserving the setting of all listed buildings, including Grad</w:t>
      </w:r>
      <w:r>
        <w:t xml:space="preserve">e II listed buildings” (paragraph 28). In </w:t>
      </w:r>
      <w:r>
        <w:rPr>
          <w:i/>
        </w:rPr>
        <w:t>East Northamptonshire</w:t>
      </w:r>
      <w:r>
        <w:t xml:space="preserve"> the inspector appeared to have “treated the less than substantial harm to the setting of the listed buildings … as a less than substantial objection to the grant of planning permission”. He ha</w:t>
      </w:r>
      <w:r>
        <w:t xml:space="preserve">d not acknowledged the need, if he found harm to the setting of the listed buildings, to give “considerable weight” to the desirability of preserving their setting, and this was a “fatal flaw” in his decision (paragraph 29).  </w:t>
      </w:r>
    </w:p>
    <w:p w14:paraId="2F4E277C" w14:textId="77777777" w:rsidR="002F59C1" w:rsidRDefault="00260CF3">
      <w:pPr>
        <w:spacing w:after="0" w:line="259" w:lineRule="auto"/>
        <w:ind w:left="720" w:right="0" w:firstLine="0"/>
      </w:pPr>
      <w:r>
        <w:t xml:space="preserve"> </w:t>
      </w:r>
    </w:p>
    <w:p w14:paraId="644D8AC0" w14:textId="77777777" w:rsidR="002F59C1" w:rsidRDefault="00260CF3">
      <w:pPr>
        <w:numPr>
          <w:ilvl w:val="0"/>
          <w:numId w:val="6"/>
        </w:numPr>
        <w:ind w:right="6" w:hanging="360"/>
      </w:pPr>
      <w:r>
        <w:t xml:space="preserve">In </w:t>
      </w:r>
      <w:proofErr w:type="spellStart"/>
      <w:r>
        <w:rPr>
          <w:i/>
        </w:rPr>
        <w:t>Mordue</w:t>
      </w:r>
      <w:proofErr w:type="spellEnd"/>
      <w:r>
        <w:rPr>
          <w:i/>
        </w:rPr>
        <w:t xml:space="preserve"> v Secretary of St</w:t>
      </w:r>
      <w:r>
        <w:rPr>
          <w:i/>
        </w:rPr>
        <w:t xml:space="preserve">ate for Communities and Local Government </w:t>
      </w:r>
      <w:r>
        <w:t>[2016] 1 W.L.R. 2682, Sales L.J. observed (at paragraph 28) that “[paragraph] 134 of the NPPF appears as part of the fasciculus of paragraphs … which lay down an approach which corresponds with the duty in section 6</w:t>
      </w:r>
      <w:r>
        <w:t>6(1)”, and “[generally], a decisionmaker who works through those paragraphs in accordance with their terms will have complied with the section 66(1) duty”. Thus “[when] an expert planning inspector refers to a paragraph within that grouping of provisions …</w:t>
      </w:r>
      <w:r>
        <w:t xml:space="preserve"> then – absent some positive contrary indication in other parts of the text of his reasons – the appropriate inference is that he has taken properly into account all those provisions …”.  </w:t>
      </w:r>
    </w:p>
    <w:p w14:paraId="0DD0C544" w14:textId="77777777" w:rsidR="002F59C1" w:rsidRDefault="00260CF3">
      <w:pPr>
        <w:spacing w:after="0" w:line="259" w:lineRule="auto"/>
        <w:ind w:left="720" w:right="0" w:firstLine="0"/>
      </w:pPr>
      <w:r>
        <w:t xml:space="preserve"> </w:t>
      </w:r>
    </w:p>
    <w:p w14:paraId="1D2C6931" w14:textId="77777777" w:rsidR="002F59C1" w:rsidRDefault="00260CF3">
      <w:pPr>
        <w:numPr>
          <w:ilvl w:val="0"/>
          <w:numId w:val="6"/>
        </w:numPr>
        <w:ind w:right="6" w:hanging="360"/>
      </w:pPr>
      <w:r>
        <w:t xml:space="preserve">In </w:t>
      </w:r>
      <w:r>
        <w:rPr>
          <w:i/>
        </w:rPr>
        <w:t>R. (on the application of Palmer) v Herefordshire Council</w:t>
      </w:r>
      <w:r>
        <w:t xml:space="preserve"> [201</w:t>
      </w:r>
      <w:r>
        <w:t>7] 1 W.L.R. 411, Lewison L.J. said (at paragraph 7) that “[it] is not for the decision-maker to demonstrate positively that he has complied with [the duty in section 66(1)]: it is for the challenger to demonstrate that at the very least there is substantia</w:t>
      </w:r>
      <w:r>
        <w:t xml:space="preserve">l doubt whether he has”.  </w:t>
      </w:r>
    </w:p>
    <w:p w14:paraId="4BCC4C13" w14:textId="77777777" w:rsidR="002F59C1" w:rsidRDefault="00260CF3">
      <w:pPr>
        <w:spacing w:after="0" w:line="259" w:lineRule="auto"/>
        <w:ind w:left="1440" w:right="0" w:firstLine="0"/>
      </w:pPr>
      <w:r>
        <w:t xml:space="preserve"> </w:t>
      </w:r>
    </w:p>
    <w:p w14:paraId="778F557B" w14:textId="77777777" w:rsidR="002F59C1" w:rsidRDefault="00260CF3">
      <w:pPr>
        <w:numPr>
          <w:ilvl w:val="0"/>
          <w:numId w:val="6"/>
        </w:numPr>
        <w:ind w:right="6" w:hanging="360"/>
      </w:pPr>
      <w:r>
        <w:t xml:space="preserve">Paragraph 129 of the NPPF stated: </w:t>
      </w:r>
    </w:p>
    <w:p w14:paraId="50CF550E" w14:textId="77777777" w:rsidR="002F59C1" w:rsidRDefault="00260CF3">
      <w:pPr>
        <w:spacing w:after="0" w:line="259" w:lineRule="auto"/>
        <w:ind w:left="1440" w:right="0" w:firstLine="0"/>
      </w:pPr>
      <w:r>
        <w:t xml:space="preserve"> </w:t>
      </w:r>
    </w:p>
    <w:p w14:paraId="3CFEE037" w14:textId="77777777" w:rsidR="002F59C1" w:rsidRDefault="00260CF3">
      <w:pPr>
        <w:ind w:left="1440" w:right="6" w:hanging="590"/>
      </w:pPr>
      <w:r>
        <w:t>“129. Local planning authorities should identify and assess the particular significance of any heritage asset that may be affected by a proposal (including by development affecting the setti</w:t>
      </w:r>
      <w:r>
        <w:t xml:space="preserve">ng of a heritage asset) taking account of the available evidence and any necessary expertise. …” </w:t>
      </w:r>
    </w:p>
    <w:p w14:paraId="18EC6790" w14:textId="77777777" w:rsidR="002F59C1" w:rsidRDefault="00260CF3">
      <w:pPr>
        <w:spacing w:after="0" w:line="259" w:lineRule="auto"/>
        <w:ind w:left="0" w:right="0" w:firstLine="0"/>
      </w:pPr>
      <w:r>
        <w:t xml:space="preserve"> </w:t>
      </w:r>
    </w:p>
    <w:p w14:paraId="404DC106" w14:textId="77777777" w:rsidR="002F59C1" w:rsidRDefault="00260CF3">
      <w:pPr>
        <w:ind w:left="720" w:right="6" w:firstLine="0"/>
      </w:pPr>
      <w:r>
        <w:t xml:space="preserve">That policy is complemented by guidance given by the Government in the Planning Practice Guidance issued in March 2014 (at paragraph 18a-010-20140306): </w:t>
      </w:r>
    </w:p>
    <w:p w14:paraId="01F2E87D" w14:textId="77777777" w:rsidR="002F59C1" w:rsidRDefault="00260CF3">
      <w:pPr>
        <w:spacing w:after="0" w:line="259" w:lineRule="auto"/>
        <w:ind w:left="720" w:right="0" w:firstLine="0"/>
      </w:pPr>
      <w:r>
        <w:t xml:space="preserve"> </w:t>
      </w:r>
    </w:p>
    <w:p w14:paraId="5ECDA6B3" w14:textId="77777777" w:rsidR="002F59C1" w:rsidRDefault="00260CF3">
      <w:pPr>
        <w:ind w:left="1440" w:right="6" w:firstLine="0"/>
      </w:pPr>
      <w:r>
        <w:t>“In most cases the assessment of the significance of the heritage asset by the local planning authori</w:t>
      </w:r>
      <w:r>
        <w:t xml:space="preserve">ty is likely to need expert advice </w:t>
      </w:r>
      <w:proofErr w:type="gramStart"/>
      <w:r>
        <w:t>… .</w:t>
      </w:r>
      <w:proofErr w:type="gramEnd"/>
      <w:r>
        <w:t xml:space="preserve"> Advice may be sought from appropriately qualified staff and experienced in-house experts </w:t>
      </w:r>
      <w:proofErr w:type="gramStart"/>
      <w:r>
        <w:t>… ,</w:t>
      </w:r>
      <w:proofErr w:type="gramEnd"/>
      <w:r>
        <w:t xml:space="preserve"> complemented as appropriate by consultation with National Amenity Societies and other statutory consultees.” </w:t>
      </w:r>
    </w:p>
    <w:p w14:paraId="12811014" w14:textId="77777777" w:rsidR="002F59C1" w:rsidRDefault="00260CF3">
      <w:pPr>
        <w:spacing w:after="0" w:line="259" w:lineRule="auto"/>
        <w:ind w:left="720" w:right="0" w:firstLine="0"/>
      </w:pPr>
      <w:r>
        <w:t xml:space="preserve"> </w:t>
      </w:r>
    </w:p>
    <w:p w14:paraId="7C527AB8" w14:textId="77777777" w:rsidR="002F59C1" w:rsidRDefault="00260CF3">
      <w:pPr>
        <w:numPr>
          <w:ilvl w:val="0"/>
          <w:numId w:val="6"/>
        </w:numPr>
        <w:ind w:right="6" w:hanging="360"/>
      </w:pPr>
      <w:r>
        <w:t>Paragraphs 1</w:t>
      </w:r>
      <w:r>
        <w:t xml:space="preserve">32 and 134 of the NPPF stated: </w:t>
      </w:r>
    </w:p>
    <w:p w14:paraId="033AF28A" w14:textId="77777777" w:rsidR="002F59C1" w:rsidRDefault="00260CF3">
      <w:pPr>
        <w:spacing w:after="0" w:line="259" w:lineRule="auto"/>
        <w:ind w:left="1440" w:right="0" w:firstLine="0"/>
      </w:pPr>
      <w:r>
        <w:t xml:space="preserve"> </w:t>
      </w:r>
    </w:p>
    <w:p w14:paraId="077737D5" w14:textId="77777777" w:rsidR="002F59C1" w:rsidRDefault="00260CF3">
      <w:pPr>
        <w:ind w:left="1440" w:right="6" w:hanging="730"/>
      </w:pPr>
      <w:r>
        <w:t xml:space="preserve">  “132. When considering the impact of a proposed development on the significance of a designated heritage asset, great weight should be given to the asset’s conservation. The more important the asset, the greater the weig</w:t>
      </w:r>
      <w:r>
        <w:t>ht should be. Significance can be harmed or lost through alteration or destruction of the heritage asset or development within its setting. As heritage assets are irreplaceable, any harm or loss should require clear and convincing justification. Substantia</w:t>
      </w:r>
      <w:r>
        <w:t xml:space="preserve">l harm to or loss of a grade II listed building … should be exceptional …  </w:t>
      </w:r>
    </w:p>
    <w:p w14:paraId="03A5937E" w14:textId="77777777" w:rsidR="002F59C1" w:rsidRDefault="00260CF3">
      <w:pPr>
        <w:spacing w:after="0" w:line="259" w:lineRule="auto"/>
        <w:ind w:left="1440" w:right="0" w:firstLine="0"/>
      </w:pPr>
      <w:r>
        <w:t xml:space="preserve"> </w:t>
      </w:r>
    </w:p>
    <w:p w14:paraId="0217FA39" w14:textId="77777777" w:rsidR="002F59C1" w:rsidRDefault="00260CF3">
      <w:pPr>
        <w:ind w:left="1440" w:right="6" w:firstLine="0"/>
      </w:pPr>
      <w:r>
        <w:t xml:space="preserve">… </w:t>
      </w:r>
    </w:p>
    <w:p w14:paraId="6CE6FC6D" w14:textId="77777777" w:rsidR="002F59C1" w:rsidRDefault="00260CF3">
      <w:pPr>
        <w:spacing w:after="0" w:line="259" w:lineRule="auto"/>
        <w:ind w:left="1440" w:right="0" w:firstLine="0"/>
      </w:pPr>
      <w:r>
        <w:t xml:space="preserve"> </w:t>
      </w:r>
    </w:p>
    <w:p w14:paraId="746EE2D7" w14:textId="77777777" w:rsidR="002F59C1" w:rsidRDefault="00260CF3">
      <w:pPr>
        <w:ind w:left="1440" w:right="6" w:hanging="446"/>
      </w:pPr>
      <w:r>
        <w:t xml:space="preserve">134. Where a development proposal will lead to less than substantial harm to the significance of a designated heritage asset, this harm should be weighed against the public </w:t>
      </w:r>
      <w:r>
        <w:t xml:space="preserve">benefits of the proposal, including securing its optimum viable use.”  </w:t>
      </w:r>
    </w:p>
    <w:p w14:paraId="5D014079" w14:textId="77777777" w:rsidR="002F59C1" w:rsidRDefault="00260CF3">
      <w:pPr>
        <w:spacing w:after="0" w:line="259" w:lineRule="auto"/>
        <w:ind w:left="1440" w:right="0" w:firstLine="0"/>
      </w:pPr>
      <w:r>
        <w:t xml:space="preserve"> </w:t>
      </w:r>
    </w:p>
    <w:p w14:paraId="1413513B" w14:textId="77777777" w:rsidR="002F59C1" w:rsidRDefault="00260CF3">
      <w:pPr>
        <w:numPr>
          <w:ilvl w:val="0"/>
          <w:numId w:val="6"/>
        </w:numPr>
        <w:ind w:right="6" w:hanging="360"/>
      </w:pPr>
      <w:r>
        <w:t xml:space="preserve">Policy HD5 of the UDP says “[planning] permission will only be granted for development affecting the setting of a listed building, which preserves the setting and important views of </w:t>
      </w:r>
      <w:r>
        <w:t xml:space="preserve">the building”.  </w:t>
      </w:r>
    </w:p>
    <w:p w14:paraId="441FEDCB" w14:textId="77777777" w:rsidR="002F59C1" w:rsidRDefault="00260CF3">
      <w:pPr>
        <w:spacing w:after="0" w:line="259" w:lineRule="auto"/>
        <w:ind w:left="720" w:right="0" w:firstLine="0"/>
      </w:pPr>
      <w:r>
        <w:t xml:space="preserve"> </w:t>
      </w:r>
    </w:p>
    <w:p w14:paraId="17F268C7" w14:textId="77777777" w:rsidR="002F59C1" w:rsidRDefault="00260CF3">
      <w:pPr>
        <w:numPr>
          <w:ilvl w:val="0"/>
          <w:numId w:val="6"/>
        </w:numPr>
        <w:ind w:right="6" w:hanging="360"/>
      </w:pPr>
      <w:r>
        <w:t>Before the application was put before the Planning Committee on 14 February 2017, it was subject to public notification, and to internal and external consultation. The internal consultation included the city council’s Urban Design and Heritage Conservation</w:t>
      </w:r>
      <w:r>
        <w:t xml:space="preserve"> team. </w:t>
      </w:r>
    </w:p>
    <w:p w14:paraId="49AA6093" w14:textId="77777777" w:rsidR="002F59C1" w:rsidRDefault="00260CF3">
      <w:pPr>
        <w:ind w:left="720" w:right="6" w:firstLine="0"/>
      </w:pPr>
      <w:r>
        <w:t xml:space="preserve">Their response, dated 24 October 2016 and submitted by Wendy Morgan, the city council’s Principal Conservation Officer, raised “no conservation objection in principle” to the </w:t>
      </w:r>
    </w:p>
    <w:p w14:paraId="2847CFC7" w14:textId="77777777" w:rsidR="002F59C1" w:rsidRDefault="00260CF3">
      <w:pPr>
        <w:ind w:left="720" w:right="6" w:firstLine="0"/>
      </w:pPr>
      <w:r>
        <w:t>“construction of houses on land on Harthill Road, adjacent to the ground</w:t>
      </w:r>
      <w:r>
        <w:t xml:space="preserve">s of </w:t>
      </w:r>
      <w:proofErr w:type="spellStart"/>
      <w:r>
        <w:t>Beechley</w:t>
      </w:r>
      <w:proofErr w:type="spellEnd"/>
      <w:r>
        <w:t>”, the “conversion to apartments of the Grade II listed villa …”, the “demolition of the non-listed modern buildings …”, or the “erection of dwellings” on that part of the site. But it also</w:t>
      </w:r>
      <w:r>
        <w:rPr>
          <w:b/>
        </w:rPr>
        <w:t xml:space="preserve"> </w:t>
      </w:r>
      <w:r>
        <w:t xml:space="preserve">said: </w:t>
      </w:r>
    </w:p>
    <w:p w14:paraId="65FAE01B" w14:textId="77777777" w:rsidR="002F59C1" w:rsidRDefault="00260CF3">
      <w:pPr>
        <w:spacing w:after="0" w:line="259" w:lineRule="auto"/>
        <w:ind w:left="720" w:right="0" w:firstLine="0"/>
      </w:pPr>
      <w:r>
        <w:t xml:space="preserve"> </w:t>
      </w:r>
    </w:p>
    <w:p w14:paraId="64744B57" w14:textId="77777777" w:rsidR="002F59C1" w:rsidRDefault="00260CF3">
      <w:pPr>
        <w:ind w:left="1440" w:right="6" w:firstLine="0"/>
      </w:pPr>
      <w:r>
        <w:t>“</w:t>
      </w:r>
      <w:proofErr w:type="gramStart"/>
      <w:r>
        <w:t>However</w:t>
      </w:r>
      <w:proofErr w:type="gramEnd"/>
      <w:r>
        <w:t xml:space="preserve"> there are strong conservation objec</w:t>
      </w:r>
      <w:r>
        <w:t xml:space="preserve">tions to the proposal to erect 3 of the houses within the grounds and setting of </w:t>
      </w:r>
      <w:proofErr w:type="spellStart"/>
      <w:r>
        <w:t>Beechley</w:t>
      </w:r>
      <w:proofErr w:type="spellEnd"/>
      <w:r>
        <w:t xml:space="preserve">.” </w:t>
      </w:r>
    </w:p>
    <w:p w14:paraId="5C7B3925" w14:textId="77777777" w:rsidR="002F59C1" w:rsidRDefault="00260CF3">
      <w:pPr>
        <w:spacing w:after="0" w:line="259" w:lineRule="auto"/>
        <w:ind w:left="1440" w:right="0" w:firstLine="0"/>
      </w:pPr>
      <w:r>
        <w:t xml:space="preserve"> </w:t>
      </w:r>
    </w:p>
    <w:p w14:paraId="7E4C39E6" w14:textId="77777777" w:rsidR="002F59C1" w:rsidRDefault="00260CF3">
      <w:pPr>
        <w:ind w:left="720" w:right="6" w:firstLine="0"/>
      </w:pPr>
      <w:r>
        <w:t xml:space="preserve">Under the heading “Grounds of </w:t>
      </w:r>
      <w:proofErr w:type="spellStart"/>
      <w:r>
        <w:t>Beechley</w:t>
      </w:r>
      <w:proofErr w:type="spellEnd"/>
      <w:r>
        <w:t xml:space="preserve"> to SE of Main House”, it referred to the proposed erection of “[three] detached houses … in a row in front of shelter belt</w:t>
      </w:r>
      <w:r>
        <w:t xml:space="preserve"> of mature trees which enclose whole grounds”, and “linked to development to N by access road through the shelter belt to NE”. It expanded on the objection in this way: </w:t>
      </w:r>
    </w:p>
    <w:p w14:paraId="4D561741" w14:textId="77777777" w:rsidR="002F59C1" w:rsidRDefault="00260CF3">
      <w:pPr>
        <w:spacing w:after="0" w:line="259" w:lineRule="auto"/>
        <w:ind w:left="1440" w:right="0" w:firstLine="0"/>
      </w:pPr>
      <w:r>
        <w:t xml:space="preserve"> </w:t>
      </w:r>
    </w:p>
    <w:p w14:paraId="7AC6E543" w14:textId="77777777" w:rsidR="002F59C1" w:rsidRDefault="00260CF3">
      <w:pPr>
        <w:ind w:left="1440" w:right="6" w:firstLine="0"/>
      </w:pPr>
      <w:r>
        <w:t>“Level of harm would be less than substantial but alteration not acceptable due to i</w:t>
      </w:r>
      <w:r>
        <w:t xml:space="preserve">mpact on setting of main house and Ha </w:t>
      </w:r>
      <w:proofErr w:type="spellStart"/>
      <w:r>
        <w:t>Ha</w:t>
      </w:r>
      <w:proofErr w:type="spellEnd"/>
      <w:r>
        <w:t>. Grounds have remained substantially [intact] and in single ownership. Only built structure in area now proposed for 3 houses was mid-C20 pavilion for use in connection with recreation facilities, footprint of which</w:t>
      </w:r>
      <w:r>
        <w:t xml:space="preserve"> was located next to shelter belt trees. … </w:t>
      </w:r>
    </w:p>
    <w:p w14:paraId="3B563493" w14:textId="77777777" w:rsidR="002F59C1" w:rsidRDefault="00260CF3">
      <w:pPr>
        <w:spacing w:after="0" w:line="259" w:lineRule="auto"/>
        <w:ind w:left="1440" w:right="0" w:firstLine="0"/>
      </w:pPr>
      <w:r>
        <w:t xml:space="preserve"> </w:t>
      </w:r>
    </w:p>
    <w:p w14:paraId="752BC158" w14:textId="77777777" w:rsidR="002F59C1" w:rsidRDefault="00260CF3">
      <w:pPr>
        <w:ind w:left="1440" w:right="6" w:firstLine="0"/>
      </w:pPr>
      <w:r>
        <w:t xml:space="preserve">The land below the terrace and Ha </w:t>
      </w:r>
      <w:proofErr w:type="spellStart"/>
      <w:r>
        <w:t>Ha</w:t>
      </w:r>
      <w:proofErr w:type="spellEnd"/>
      <w:r>
        <w:t xml:space="preserve"> … presently used as a paddock has always been an integral part of the setting of the villa and Ha </w:t>
      </w:r>
      <w:proofErr w:type="spellStart"/>
      <w:r>
        <w:t>Ha</w:t>
      </w:r>
      <w:proofErr w:type="spellEnd"/>
      <w:r>
        <w:t xml:space="preserve"> which have elevated views over it. Like many villas of the period its gr</w:t>
      </w:r>
      <w:r>
        <w:t xml:space="preserve">ounds are a ‘stately home in miniature’ and originally had all the necessary elements identifying them as such … All these features were included in the grounds of </w:t>
      </w:r>
      <w:proofErr w:type="spellStart"/>
      <w:r>
        <w:t>Beechley</w:t>
      </w:r>
      <w:proofErr w:type="spellEnd"/>
      <w:r>
        <w:t xml:space="preserve"> … and all those extant contribute positively to the significance of its setting and</w:t>
      </w:r>
      <w:r>
        <w:t xml:space="preserve"> the setting of the Ha </w:t>
      </w:r>
      <w:proofErr w:type="spellStart"/>
      <w:r>
        <w:t>Ha</w:t>
      </w:r>
      <w:proofErr w:type="spellEnd"/>
      <w:r>
        <w:t xml:space="preserve">. </w:t>
      </w:r>
    </w:p>
    <w:p w14:paraId="2AA533EC" w14:textId="77777777" w:rsidR="002F59C1" w:rsidRDefault="00260CF3">
      <w:pPr>
        <w:spacing w:after="0" w:line="259" w:lineRule="auto"/>
        <w:ind w:left="1440" w:right="0" w:firstLine="0"/>
      </w:pPr>
      <w:r>
        <w:t xml:space="preserve"> </w:t>
      </w:r>
    </w:p>
    <w:p w14:paraId="1EC5AE64" w14:textId="77777777" w:rsidR="002F59C1" w:rsidRDefault="00260CF3">
      <w:pPr>
        <w:ind w:left="1440" w:right="6" w:firstLine="0"/>
      </w:pPr>
      <w:r>
        <w:t xml:space="preserve">… </w:t>
      </w:r>
    </w:p>
    <w:p w14:paraId="20BFFB03" w14:textId="77777777" w:rsidR="002F59C1" w:rsidRDefault="00260CF3">
      <w:pPr>
        <w:spacing w:after="0" w:line="259" w:lineRule="auto"/>
        <w:ind w:left="1440" w:right="0" w:firstLine="0"/>
      </w:pPr>
      <w:r>
        <w:t xml:space="preserve"> </w:t>
      </w:r>
    </w:p>
    <w:p w14:paraId="000D5CEA" w14:textId="77777777" w:rsidR="002F59C1" w:rsidRDefault="00260CF3">
      <w:pPr>
        <w:ind w:left="1440" w:right="6" w:firstLine="0"/>
      </w:pPr>
      <w:r>
        <w:t>The HS makes some reference to the future improvement of this situation. … No reference is made to the maintenance of the [remainder] of the grounds and there are conservation concerns about the possible continued deterio</w:t>
      </w:r>
      <w:r>
        <w:t xml:space="preserve">ration of the shelter belt and the 3 large trees in the paddock, two of which are probably part of the Victorian planting scheme and in further imitation of larger estate landscape design. </w:t>
      </w:r>
    </w:p>
    <w:p w14:paraId="1BB220AD" w14:textId="77777777" w:rsidR="002F59C1" w:rsidRDefault="00260CF3">
      <w:pPr>
        <w:spacing w:after="0" w:line="259" w:lineRule="auto"/>
        <w:ind w:left="1440" w:right="0" w:firstLine="0"/>
      </w:pPr>
      <w:r>
        <w:t xml:space="preserve"> </w:t>
      </w:r>
    </w:p>
    <w:p w14:paraId="1B9C5203" w14:textId="77777777" w:rsidR="002F59C1" w:rsidRDefault="00260CF3">
      <w:pPr>
        <w:ind w:left="1440" w:right="6" w:firstLine="0"/>
      </w:pPr>
      <w:r>
        <w:t xml:space="preserve">… </w:t>
      </w:r>
    </w:p>
    <w:p w14:paraId="5702F0F0" w14:textId="77777777" w:rsidR="002F59C1" w:rsidRDefault="00260CF3">
      <w:pPr>
        <w:spacing w:after="0" w:line="259" w:lineRule="auto"/>
        <w:ind w:left="1440" w:right="0" w:firstLine="0"/>
      </w:pPr>
      <w:r>
        <w:t xml:space="preserve"> </w:t>
      </w:r>
    </w:p>
    <w:p w14:paraId="26E21BB4" w14:textId="77777777" w:rsidR="002F59C1" w:rsidRDefault="00260CF3">
      <w:pPr>
        <w:ind w:left="1440" w:right="6" w:firstLine="0"/>
      </w:pPr>
      <w:r>
        <w:t>… [The] majority of the landscape within the boundary walls continues to comprise the setting: it is still an undeveloped planned Victorian buffer between the house and the wider environment, … retaining the sense of a ‘stately home in miniature’ created b</w:t>
      </w:r>
      <w:r>
        <w:t xml:space="preserve">y its Victorian owners. </w:t>
      </w:r>
    </w:p>
    <w:p w14:paraId="4B4D8D2D" w14:textId="77777777" w:rsidR="002F59C1" w:rsidRDefault="00260CF3">
      <w:pPr>
        <w:spacing w:after="0" w:line="259" w:lineRule="auto"/>
        <w:ind w:left="1440" w:right="0" w:firstLine="0"/>
      </w:pPr>
      <w:r>
        <w:t xml:space="preserve"> </w:t>
      </w:r>
    </w:p>
    <w:p w14:paraId="792DC771" w14:textId="77777777" w:rsidR="002F59C1" w:rsidRDefault="00260CF3">
      <w:pPr>
        <w:ind w:left="1440" w:right="6" w:firstLine="0"/>
      </w:pPr>
      <w:r>
        <w:t xml:space="preserve">The adverse effect these changes would have on the setting of </w:t>
      </w:r>
      <w:proofErr w:type="spellStart"/>
      <w:r>
        <w:t>Beechley</w:t>
      </w:r>
      <w:proofErr w:type="spellEnd"/>
      <w:r>
        <w:t xml:space="preserve"> means that this aspect of the application is not supported from a conservation point of view. Furthermore, the future of … all the land within the historic curtilage of </w:t>
      </w:r>
      <w:proofErr w:type="spellStart"/>
      <w:r>
        <w:t>Beechley</w:t>
      </w:r>
      <w:proofErr w:type="spellEnd"/>
      <w:r>
        <w:t xml:space="preserve">, which </w:t>
      </w:r>
      <w:r>
        <w:t xml:space="preserve">forms the principle [sic] setting of all its listed buildings, should be ensured by appropriate management of the whole landscape, not just the areas close to the main house and entrance.”  </w:t>
      </w:r>
    </w:p>
    <w:p w14:paraId="6C4940EB" w14:textId="77777777" w:rsidR="002F59C1" w:rsidRDefault="00260CF3">
      <w:pPr>
        <w:spacing w:after="0" w:line="259" w:lineRule="auto"/>
        <w:ind w:left="0" w:right="0" w:firstLine="0"/>
      </w:pPr>
      <w:r>
        <w:t xml:space="preserve"> </w:t>
      </w:r>
    </w:p>
    <w:p w14:paraId="514C75C6" w14:textId="77777777" w:rsidR="002F59C1" w:rsidRDefault="00260CF3">
      <w:pPr>
        <w:ind w:left="720" w:right="6" w:firstLine="0"/>
      </w:pPr>
      <w:r>
        <w:t>The “Recommendation” at the end of the consultation response sa</w:t>
      </w:r>
      <w:r>
        <w:t xml:space="preserve">id: </w:t>
      </w:r>
    </w:p>
    <w:p w14:paraId="7D4F1740" w14:textId="77777777" w:rsidR="002F59C1" w:rsidRDefault="00260CF3">
      <w:pPr>
        <w:spacing w:after="0" w:line="259" w:lineRule="auto"/>
        <w:ind w:left="1440" w:right="0" w:firstLine="0"/>
      </w:pPr>
      <w:r>
        <w:t xml:space="preserve"> </w:t>
      </w:r>
    </w:p>
    <w:p w14:paraId="5E3BE8C9" w14:textId="77777777" w:rsidR="002F59C1" w:rsidRDefault="00260CF3">
      <w:pPr>
        <w:ind w:left="1440" w:right="6" w:firstLine="0"/>
      </w:pPr>
      <w:r>
        <w:t xml:space="preserve">“… [The] proposed planning application would not be supported from a conservation point of view at present because of the adverse impact which one aspect of it would have on the setting of the Grade II listed house. As stated in NPPF paragraph 134, </w:t>
      </w:r>
      <w:r>
        <w:t xml:space="preserve">it is for the decision-maker to consider the public benefits of the scheme against the identified harm to the significance of the listed buildings and structures at the </w:t>
      </w:r>
      <w:proofErr w:type="spellStart"/>
      <w:r>
        <w:t>Beechley</w:t>
      </w:r>
      <w:proofErr w:type="spellEnd"/>
      <w:r>
        <w:t xml:space="preserve"> site.”   </w:t>
      </w:r>
    </w:p>
    <w:p w14:paraId="3B5E4EA5" w14:textId="77777777" w:rsidR="002F59C1" w:rsidRDefault="00260CF3">
      <w:pPr>
        <w:spacing w:after="0" w:line="259" w:lineRule="auto"/>
        <w:ind w:left="0" w:right="0" w:firstLine="0"/>
      </w:pPr>
      <w:r>
        <w:t xml:space="preserve"> </w:t>
      </w:r>
    </w:p>
    <w:p w14:paraId="2BFBF1CD" w14:textId="77777777" w:rsidR="002F59C1" w:rsidRDefault="00260CF3">
      <w:pPr>
        <w:numPr>
          <w:ilvl w:val="0"/>
          <w:numId w:val="7"/>
        </w:numPr>
        <w:ind w:right="6" w:hanging="360"/>
      </w:pPr>
      <w:r>
        <w:t>In his report for the committee meeting on 14 February 2017 the of</w:t>
      </w:r>
      <w:r>
        <w:t xml:space="preserve">ficer summarised the “Internal Consultee Responses” from “Environmental Health”, “Highways” and </w:t>
      </w:r>
    </w:p>
    <w:p w14:paraId="7B78017D" w14:textId="77777777" w:rsidR="002F59C1" w:rsidRDefault="00260CF3">
      <w:pPr>
        <w:ind w:left="720" w:right="6" w:firstLine="0"/>
      </w:pPr>
      <w:r>
        <w:t>“Drainage”. But he did not mention the response from the Urban Design and Heritage Conservation team. Recording the views of “External Consultees”, he referred</w:t>
      </w:r>
      <w:r>
        <w:t xml:space="preserve"> to the response from Historic England, who had “[advised] that they do not wish to make any detailed comments regarding the planning and listed building applications but welcome the reuse of </w:t>
      </w:r>
      <w:proofErr w:type="spellStart"/>
      <w:r>
        <w:t>Beechley</w:t>
      </w:r>
      <w:proofErr w:type="spellEnd"/>
      <w:r>
        <w:t xml:space="preserve">”. He also summarised local objections, including those </w:t>
      </w:r>
      <w:r>
        <w:t xml:space="preserve">relating to “Designated Heritage Assets”.  </w:t>
      </w:r>
    </w:p>
    <w:p w14:paraId="45DE0535" w14:textId="77777777" w:rsidR="002F59C1" w:rsidRDefault="00260CF3">
      <w:pPr>
        <w:spacing w:after="0" w:line="259" w:lineRule="auto"/>
        <w:ind w:left="720" w:right="0" w:firstLine="0"/>
      </w:pPr>
      <w:r>
        <w:t xml:space="preserve"> </w:t>
      </w:r>
    </w:p>
    <w:p w14:paraId="717A9233" w14:textId="77777777" w:rsidR="002F59C1" w:rsidRDefault="00260CF3">
      <w:pPr>
        <w:numPr>
          <w:ilvl w:val="0"/>
          <w:numId w:val="7"/>
        </w:numPr>
        <w:ind w:right="6" w:hanging="360"/>
      </w:pPr>
      <w:r>
        <w:t xml:space="preserve">In the section of his report headed “Planning Policy” the officer distilled the policies on heritage assets in paragraphs 129 to 134 of the NPPF, stating: </w:t>
      </w:r>
    </w:p>
    <w:p w14:paraId="0647A777" w14:textId="77777777" w:rsidR="002F59C1" w:rsidRDefault="00260CF3">
      <w:pPr>
        <w:spacing w:after="0" w:line="259" w:lineRule="auto"/>
        <w:ind w:left="720" w:right="0" w:firstLine="0"/>
      </w:pPr>
      <w:r>
        <w:t xml:space="preserve"> </w:t>
      </w:r>
    </w:p>
    <w:p w14:paraId="05F03A4E" w14:textId="77777777" w:rsidR="002F59C1" w:rsidRDefault="00260CF3">
      <w:pPr>
        <w:ind w:left="1440" w:right="6" w:firstLine="0"/>
      </w:pPr>
      <w:r>
        <w:t>“… Great weight is given to the designated [asset’s]</w:t>
      </w:r>
      <w:r>
        <w:t xml:space="preserve"> conservation; where harm is identified, the application should be refused however where there would be less than substantial harm, this must be weighed against the public benefits.” </w:t>
      </w:r>
    </w:p>
    <w:p w14:paraId="6BF96D0B" w14:textId="77777777" w:rsidR="002F59C1" w:rsidRDefault="00260CF3">
      <w:pPr>
        <w:spacing w:after="0" w:line="259" w:lineRule="auto"/>
        <w:ind w:left="720" w:right="0" w:firstLine="0"/>
      </w:pPr>
      <w:r>
        <w:t xml:space="preserve"> </w:t>
      </w:r>
    </w:p>
    <w:p w14:paraId="5AD92D5D" w14:textId="77777777" w:rsidR="002F59C1" w:rsidRDefault="00260CF3">
      <w:pPr>
        <w:ind w:left="720" w:right="6" w:firstLine="0"/>
      </w:pPr>
      <w:r>
        <w:t>And in the same section of the report he referred to section 66(1), in</w:t>
      </w:r>
      <w:r>
        <w:t xml:space="preserve"> this way: </w:t>
      </w:r>
    </w:p>
    <w:p w14:paraId="58AE380D" w14:textId="77777777" w:rsidR="002F59C1" w:rsidRDefault="00260CF3">
      <w:pPr>
        <w:spacing w:after="0" w:line="259" w:lineRule="auto"/>
        <w:ind w:left="720" w:right="0" w:firstLine="0"/>
      </w:pPr>
      <w:r>
        <w:t xml:space="preserve"> </w:t>
      </w:r>
    </w:p>
    <w:p w14:paraId="2EA940D0" w14:textId="77777777" w:rsidR="002F59C1" w:rsidRDefault="00260CF3">
      <w:pPr>
        <w:ind w:left="1440" w:right="6" w:firstLine="0"/>
      </w:pPr>
      <w:r>
        <w:t xml:space="preserve">“Planning (Listed Buildings and Conservation Areas) Act 1990, Section 66(1) and </w:t>
      </w:r>
    </w:p>
    <w:p w14:paraId="2E28293B" w14:textId="77777777" w:rsidR="002F59C1" w:rsidRDefault="00260CF3">
      <w:pPr>
        <w:ind w:left="1440" w:right="6" w:firstLine="0"/>
      </w:pPr>
      <w:r>
        <w:t xml:space="preserve">16(2): which deal with matters of impact on setting.” </w:t>
      </w:r>
    </w:p>
    <w:p w14:paraId="55C282B7" w14:textId="77777777" w:rsidR="002F59C1" w:rsidRDefault="00260CF3">
      <w:pPr>
        <w:spacing w:after="0" w:line="259" w:lineRule="auto"/>
        <w:ind w:left="1440" w:right="0" w:firstLine="0"/>
      </w:pPr>
      <w:r>
        <w:t xml:space="preserve"> </w:t>
      </w:r>
    </w:p>
    <w:p w14:paraId="221D8EDC" w14:textId="77777777" w:rsidR="002F59C1" w:rsidRDefault="00260CF3">
      <w:pPr>
        <w:numPr>
          <w:ilvl w:val="0"/>
          <w:numId w:val="7"/>
        </w:numPr>
        <w:ind w:right="6" w:hanging="360"/>
      </w:pPr>
      <w:r>
        <w:t>He returned to the</w:t>
      </w:r>
      <w:r>
        <w:rPr>
          <w:b/>
        </w:rPr>
        <w:t xml:space="preserve"> </w:t>
      </w:r>
      <w:r>
        <w:t xml:space="preserve">NPPF policies in a section headed “… Character and Setting of the Listed Buildings”, advising the members that “[the] NPPF sets out a tiered system for considering the impact of a proposed development on the significance of a designated heritage asset and </w:t>
      </w:r>
      <w:r>
        <w:t xml:space="preserve">for apportioning the amount of weight to be given to conserving the heritage asset”, based on five principles, the fifth being that “[where] a development would lead to </w:t>
      </w:r>
      <w:r>
        <w:rPr>
          <w:i/>
        </w:rPr>
        <w:t>less than substantial harm</w:t>
      </w:r>
      <w:r>
        <w:t xml:space="preserve"> to the significance of a heritage asset, this harm should be</w:t>
      </w:r>
      <w:r>
        <w:t xml:space="preserve"> weighed against the public benefits of the proposal, including securing its optimum viable use”. </w:t>
      </w:r>
    </w:p>
    <w:p w14:paraId="62FE425F" w14:textId="77777777" w:rsidR="002F59C1" w:rsidRDefault="00260CF3">
      <w:pPr>
        <w:spacing w:after="0" w:line="259" w:lineRule="auto"/>
        <w:ind w:left="0" w:right="0" w:firstLine="0"/>
      </w:pPr>
      <w:r>
        <w:t xml:space="preserve"> </w:t>
      </w:r>
    </w:p>
    <w:p w14:paraId="4F45160B" w14:textId="77777777" w:rsidR="002F59C1" w:rsidRDefault="00260CF3">
      <w:pPr>
        <w:numPr>
          <w:ilvl w:val="0"/>
          <w:numId w:val="7"/>
        </w:numPr>
        <w:ind w:right="6" w:hanging="360"/>
      </w:pPr>
      <w:r>
        <w:t xml:space="preserve">He considered the effects of the development on the listed buildings, concluding that the “level of harm” from the proposed works to </w:t>
      </w:r>
      <w:proofErr w:type="spellStart"/>
      <w:r>
        <w:t>Beechley</w:t>
      </w:r>
      <w:proofErr w:type="spellEnd"/>
      <w:r>
        <w:t xml:space="preserve"> House, the en</w:t>
      </w:r>
      <w:r>
        <w:t xml:space="preserve">trance gates and </w:t>
      </w:r>
      <w:proofErr w:type="spellStart"/>
      <w:r>
        <w:t>Beechley</w:t>
      </w:r>
      <w:proofErr w:type="spellEnd"/>
      <w:r>
        <w:t xml:space="preserve"> Stables would, in each case, be “less than substantial”. On each, he said that “in order to outweigh such harm, as required by paragraph 134 of the NPPF, the scheme would provide a public benefit in securing [the building’s] optim</w:t>
      </w:r>
      <w:r>
        <w:t>um viable use”, and that “this part of the scheme is acceptable and accords … with the NPPF”. The ha-ha would be repaired “on a like-for-like basis”. The “level of harm” resulting from the demolition of the outdoor riding arena and constructing four mews h</w:t>
      </w:r>
      <w:r>
        <w:t xml:space="preserve">ouses in its place would be “neutral in terms of its impact on the designated heritage assets”. </w:t>
      </w:r>
    </w:p>
    <w:p w14:paraId="286B948A" w14:textId="77777777" w:rsidR="002F59C1" w:rsidRDefault="00260CF3">
      <w:pPr>
        <w:spacing w:after="0" w:line="259" w:lineRule="auto"/>
        <w:ind w:left="0" w:right="0" w:firstLine="0"/>
      </w:pPr>
      <w:r>
        <w:t xml:space="preserve"> </w:t>
      </w:r>
    </w:p>
    <w:p w14:paraId="422E453A" w14:textId="77777777" w:rsidR="002F59C1" w:rsidRDefault="00260CF3">
      <w:pPr>
        <w:numPr>
          <w:ilvl w:val="0"/>
          <w:numId w:val="7"/>
        </w:numPr>
        <w:ind w:right="6" w:hanging="360"/>
      </w:pPr>
      <w:r>
        <w:t>Under the heading “Erection of 3 detached houses within the grounds”, the officer acknowledged that “the erection of these three houses in the historic groun</w:t>
      </w:r>
      <w:r>
        <w:t xml:space="preserve">ds of </w:t>
      </w:r>
      <w:proofErr w:type="spellStart"/>
      <w:r>
        <w:t>Beechley</w:t>
      </w:r>
      <w:proofErr w:type="spellEnd"/>
      <w:r>
        <w:t xml:space="preserve"> would result in some harm to its setting and also the Ha </w:t>
      </w:r>
      <w:proofErr w:type="spellStart"/>
      <w:r>
        <w:t>Ha</w:t>
      </w:r>
      <w:proofErr w:type="spellEnd"/>
      <w:r>
        <w:t>”, but said this was “considered to be categorised as less than substantial”. He accepted that “this element of the scheme will inevitably have a greater impact than other impacts to</w:t>
      </w:r>
      <w:r>
        <w:t xml:space="preserve"> other heritage assets discussed earlier, as it will introduce built development within the historic grounds of </w:t>
      </w:r>
      <w:proofErr w:type="spellStart"/>
      <w:r>
        <w:t>Beechley</w:t>
      </w:r>
      <w:proofErr w:type="spellEnd"/>
      <w:r>
        <w:t>”. He had “considered this aspect of the scheme in some depth and, whilst accepting that the erection of the 3 houses would cause less t</w:t>
      </w:r>
      <w:r>
        <w:t xml:space="preserve">han substantial harm, [had] weighed up the planning balance of the proposal against the wider public benefits/regeneration merits that it would deliver, as provided for under para 134 of the NPPF”. The benefits to which he referred were “[bringing] </w:t>
      </w:r>
      <w:proofErr w:type="spellStart"/>
      <w:r>
        <w:t>Beechle</w:t>
      </w:r>
      <w:r>
        <w:t>y</w:t>
      </w:r>
      <w:proofErr w:type="spellEnd"/>
      <w:r>
        <w:t xml:space="preserve"> back into use”, the “[repair] of the listed Ha </w:t>
      </w:r>
      <w:proofErr w:type="spellStart"/>
      <w:r>
        <w:t>Ha</w:t>
      </w:r>
      <w:proofErr w:type="spellEnd"/>
      <w:r>
        <w:t xml:space="preserve">”, and the “[relocation] and enhancement” of the “disabled riding stables”, the miniature railway, and Calder Kids. He “accepted that the proposed 3 dwellings within the grounds of </w:t>
      </w:r>
      <w:proofErr w:type="spellStart"/>
      <w:r>
        <w:t>Beechley</w:t>
      </w:r>
      <w:proofErr w:type="spellEnd"/>
      <w:r>
        <w:t xml:space="preserve">, whilst having </w:t>
      </w:r>
      <w:r>
        <w:t>been designed to be located as far away from the Listed Building/structure as possible, including additional tree and hedge planting, for the purposes of part (</w:t>
      </w:r>
      <w:proofErr w:type="spellStart"/>
      <w:r>
        <w:t>i</w:t>
      </w:r>
      <w:proofErr w:type="spellEnd"/>
      <w:r>
        <w:t xml:space="preserve">) of Policy HD5, would still be somewhat visible through the retained landscaping”. </w:t>
      </w:r>
    </w:p>
    <w:p w14:paraId="0422ACC6" w14:textId="77777777" w:rsidR="002F59C1" w:rsidRDefault="00260CF3">
      <w:pPr>
        <w:spacing w:after="0" w:line="259" w:lineRule="auto"/>
        <w:ind w:left="720" w:right="0" w:firstLine="0"/>
      </w:pPr>
      <w:r>
        <w:t xml:space="preserve"> </w:t>
      </w:r>
    </w:p>
    <w:p w14:paraId="414ACE38" w14:textId="77777777" w:rsidR="002F59C1" w:rsidRDefault="00260CF3">
      <w:pPr>
        <w:numPr>
          <w:ilvl w:val="0"/>
          <w:numId w:val="7"/>
        </w:numPr>
        <w:ind w:right="6" w:hanging="360"/>
      </w:pPr>
      <w:r>
        <w:t>The offi</w:t>
      </w:r>
      <w:r>
        <w:t xml:space="preserve">cer continued: </w:t>
      </w:r>
    </w:p>
    <w:p w14:paraId="6DD60D36" w14:textId="77777777" w:rsidR="002F59C1" w:rsidRDefault="00260CF3">
      <w:pPr>
        <w:spacing w:after="0" w:line="259" w:lineRule="auto"/>
        <w:ind w:left="1440" w:right="0" w:firstLine="0"/>
      </w:pPr>
      <w:r>
        <w:t xml:space="preserve"> </w:t>
      </w:r>
    </w:p>
    <w:p w14:paraId="47C5CCC6" w14:textId="77777777" w:rsidR="002F59C1" w:rsidRDefault="00260CF3">
      <w:pPr>
        <w:ind w:left="1440" w:right="6" w:firstLine="0"/>
      </w:pPr>
      <w:r>
        <w:t xml:space="preserve">“Notwithstanding this, the Interim Head of Planning is of the view that in this instance, the less than substantial harm to the setting of the heritage assets is outweighed by the abovementioned public benefits.” </w:t>
      </w:r>
    </w:p>
    <w:p w14:paraId="0A4DA106" w14:textId="77777777" w:rsidR="002F59C1" w:rsidRDefault="00260CF3">
      <w:pPr>
        <w:spacing w:after="0" w:line="259" w:lineRule="auto"/>
        <w:ind w:left="0" w:right="0" w:firstLine="0"/>
      </w:pPr>
      <w:r>
        <w:t xml:space="preserve"> </w:t>
      </w:r>
    </w:p>
    <w:p w14:paraId="5F271588" w14:textId="77777777" w:rsidR="002F59C1" w:rsidRDefault="00260CF3">
      <w:pPr>
        <w:ind w:left="720" w:right="6" w:firstLine="0"/>
      </w:pPr>
      <w:r>
        <w:t>He added, however, tha</w:t>
      </w:r>
      <w:r>
        <w:t xml:space="preserve">t he “would not wish to see the proposed 3 dwellings carried out without securing the preservation and enhancement of the heritage assets on the site”. A condition would therefore be imposed, stipulating “that the 3 dwellings cannot be occupied until such </w:t>
      </w:r>
      <w:r>
        <w:t xml:space="preserve">a time when substantial works in connection with the conversion of </w:t>
      </w:r>
      <w:proofErr w:type="spellStart"/>
      <w:r>
        <w:t>Beechley</w:t>
      </w:r>
      <w:proofErr w:type="spellEnd"/>
      <w:r>
        <w:t xml:space="preserve"> have been carried out”.  </w:t>
      </w:r>
    </w:p>
    <w:p w14:paraId="7971DEA4" w14:textId="77777777" w:rsidR="002F59C1" w:rsidRDefault="00260CF3">
      <w:pPr>
        <w:spacing w:after="0" w:line="259" w:lineRule="auto"/>
        <w:ind w:left="0" w:right="0" w:firstLine="0"/>
      </w:pPr>
      <w:r>
        <w:t xml:space="preserve"> </w:t>
      </w:r>
    </w:p>
    <w:p w14:paraId="20772A6C" w14:textId="77777777" w:rsidR="002F59C1" w:rsidRDefault="00260CF3">
      <w:pPr>
        <w:numPr>
          <w:ilvl w:val="0"/>
          <w:numId w:val="7"/>
        </w:numPr>
        <w:ind w:right="6" w:hanging="360"/>
      </w:pPr>
      <w:r>
        <w:t xml:space="preserve">Concluding this section of his report, the officer said: </w:t>
      </w:r>
    </w:p>
    <w:p w14:paraId="16A339FE" w14:textId="77777777" w:rsidR="002F59C1" w:rsidRDefault="00260CF3">
      <w:pPr>
        <w:spacing w:after="0" w:line="259" w:lineRule="auto"/>
        <w:ind w:left="1440" w:right="0" w:firstLine="0"/>
      </w:pPr>
      <w:r>
        <w:t xml:space="preserve"> </w:t>
      </w:r>
    </w:p>
    <w:p w14:paraId="0EF48710" w14:textId="77777777" w:rsidR="002F59C1" w:rsidRDefault="00260CF3">
      <w:pPr>
        <w:ind w:left="1440" w:right="6" w:firstLine="0"/>
      </w:pPr>
      <w:r>
        <w:t xml:space="preserve">“Overall … the proposed conversion and alterations of the designated heritage assets … will </w:t>
      </w:r>
      <w:r>
        <w:t xml:space="preserve">sustain and enhance their significance and … any harm to the setting of </w:t>
      </w:r>
      <w:proofErr w:type="spellStart"/>
      <w:r>
        <w:t>Beechley</w:t>
      </w:r>
      <w:proofErr w:type="spellEnd"/>
      <w:r>
        <w:t xml:space="preserve"> and any other heritage assets would be classed as less than substantial, being outweighed by the wider public/regeneration benefits delivered from the proposed development as </w:t>
      </w:r>
      <w:r>
        <w:t xml:space="preserve">a whole, in accordance with paragraph 134 of the NPPF.”  </w:t>
      </w:r>
    </w:p>
    <w:p w14:paraId="55EE36B8" w14:textId="77777777" w:rsidR="002F59C1" w:rsidRDefault="00260CF3">
      <w:pPr>
        <w:spacing w:after="0" w:line="259" w:lineRule="auto"/>
        <w:ind w:left="1440" w:right="0" w:firstLine="0"/>
      </w:pPr>
      <w:r>
        <w:t xml:space="preserve"> </w:t>
      </w:r>
    </w:p>
    <w:p w14:paraId="2EB61CBE" w14:textId="77777777" w:rsidR="002F59C1" w:rsidRDefault="00260CF3">
      <w:pPr>
        <w:numPr>
          <w:ilvl w:val="0"/>
          <w:numId w:val="7"/>
        </w:numPr>
        <w:ind w:right="6" w:hanging="360"/>
      </w:pPr>
      <w:r>
        <w:t xml:space="preserve">The minutes record advice given by officers at the meeting that the development would “deliver benefits through the restoration of the Listed ‘Ha </w:t>
      </w:r>
      <w:proofErr w:type="spellStart"/>
      <w:r>
        <w:t>Ha</w:t>
      </w:r>
      <w:proofErr w:type="spellEnd"/>
      <w:r>
        <w:t xml:space="preserve">’ landscape feature and of </w:t>
      </w:r>
    </w:p>
    <w:p w14:paraId="1B796E15" w14:textId="77777777" w:rsidR="002F59C1" w:rsidRDefault="00260CF3">
      <w:pPr>
        <w:ind w:left="720" w:right="6" w:firstLine="0"/>
      </w:pPr>
      <w:proofErr w:type="spellStart"/>
      <w:r>
        <w:t>Beechley</w:t>
      </w:r>
      <w:proofErr w:type="spellEnd"/>
      <w:r>
        <w:t xml:space="preserve"> House itself”. While “there would be some harm caused to the setting of </w:t>
      </w:r>
      <w:proofErr w:type="spellStart"/>
      <w:r>
        <w:t>Beechley</w:t>
      </w:r>
      <w:proofErr w:type="spellEnd"/>
      <w:r>
        <w:t xml:space="preserve"> House”, this was “not such as to be considered significant” and “on balance the level of benefits … outweighed [it] in terms of the relocation of and provision of new</w:t>
      </w:r>
      <w:r>
        <w:t xml:space="preserve"> enhanced facilities for </w:t>
      </w:r>
      <w:proofErr w:type="spellStart"/>
      <w:r>
        <w:t>Beechley</w:t>
      </w:r>
      <w:proofErr w:type="spellEnd"/>
      <w:r>
        <w:t xml:space="preserve"> Riding Stables and the Model Railway”. The design had been “assessed by [the city council’s] in-house fully qualified design specialist …”. But there was no reference to the Urban Design and Heritage Conservation team’s co</w:t>
      </w:r>
      <w:r>
        <w:t xml:space="preserve">nsultation response. And Mr Tucker told us it was not made available to the members at the meeting. </w:t>
      </w:r>
    </w:p>
    <w:p w14:paraId="1C80D2EE" w14:textId="77777777" w:rsidR="002F59C1" w:rsidRDefault="00260CF3">
      <w:pPr>
        <w:spacing w:after="0" w:line="259" w:lineRule="auto"/>
        <w:ind w:left="720" w:right="0" w:firstLine="0"/>
      </w:pPr>
      <w:r>
        <w:t xml:space="preserve"> </w:t>
      </w:r>
    </w:p>
    <w:p w14:paraId="1528A9E3" w14:textId="77777777" w:rsidR="002F59C1" w:rsidRDefault="00260CF3">
      <w:pPr>
        <w:numPr>
          <w:ilvl w:val="0"/>
          <w:numId w:val="7"/>
        </w:numPr>
        <w:ind w:right="6" w:hanging="360"/>
      </w:pPr>
      <w:r>
        <w:t>Kerr J. accepted that it could be inferred that the committee was “properly [apprised] of and properly carried out its section 66(1) duty, unless contra-</w:t>
      </w:r>
      <w:r>
        <w:t>indications rebutting the inference raise at least a substantial doubt that they did so”. But in his view there were “contraindications” (paragraph 70): the officer’s failure to mention the consultation response of the Urban Design and Heritage Conservatio</w:t>
      </w:r>
      <w:r>
        <w:t xml:space="preserve">n team, which stated “strong conservation objections” to the three dwellings proposed within the setting of </w:t>
      </w:r>
      <w:proofErr w:type="spellStart"/>
      <w:r>
        <w:t>Beechley</w:t>
      </w:r>
      <w:proofErr w:type="spellEnd"/>
      <w:r>
        <w:t xml:space="preserve"> House and the ha-ha (paragraphs 71 to 78); the “mantra-like formulation of the balancing exercise”, with “no reference to any weighting”; t</w:t>
      </w:r>
      <w:r>
        <w:t xml:space="preserve">he emphasis on the policy in paragraph 134 of the NPPF for cases of “less than substantial harm” without mentioning the policy in paragraph 132; </w:t>
      </w:r>
    </w:p>
    <w:p w14:paraId="540A307F" w14:textId="77777777" w:rsidR="002F59C1" w:rsidRDefault="00260CF3">
      <w:pPr>
        <w:ind w:left="720" w:right="6" w:firstLine="0"/>
      </w:pPr>
      <w:r>
        <w:t>the repetition of an “unweighted formulation of the balancing exercise” (paragraphs 79 to 81); and, finally, t</w:t>
      </w:r>
      <w:r>
        <w:t>he notion that “</w:t>
      </w:r>
      <w:r>
        <w:rPr>
          <w:i/>
        </w:rPr>
        <w:t>being</w:t>
      </w:r>
      <w:r>
        <w:t xml:space="preserve"> outweighed by the public benefits contributes to characterisation of the harm as less than substantial” (paragraphs 82 to 84). He was therefore “very far from comforted by the assurances of [counsel] that the committee can be taken to</w:t>
      </w:r>
      <w:r>
        <w:t xml:space="preserve"> have remembered the isolated reference to “great weight” and “clear and convincing justification” earlier in the [report]”, or that the officer had “avoided watering down the duty under section 66(1)”. He was “left with, at the very least, a substantial d</w:t>
      </w:r>
      <w:r>
        <w:t>oubt on the point” (paragraph 85). He did not accept the argument under section 31(2A) of the Senior Courts Act 1981 that it was “highly likely that the outcome … would not have been substantially different” if this error, and the error he had found in the</w:t>
      </w:r>
      <w:r>
        <w:t xml:space="preserve"> interpretation of Policy OE3, had not been made (paragraphs 135 to 138). </w:t>
      </w:r>
    </w:p>
    <w:p w14:paraId="25F35978" w14:textId="77777777" w:rsidR="002F59C1" w:rsidRDefault="00260CF3">
      <w:pPr>
        <w:spacing w:after="0" w:line="259" w:lineRule="auto"/>
        <w:ind w:left="720" w:right="0" w:firstLine="0"/>
      </w:pPr>
      <w:r>
        <w:t xml:space="preserve"> </w:t>
      </w:r>
    </w:p>
    <w:p w14:paraId="03BC2890" w14:textId="77777777" w:rsidR="002F59C1" w:rsidRDefault="00260CF3">
      <w:pPr>
        <w:numPr>
          <w:ilvl w:val="0"/>
          <w:numId w:val="7"/>
        </w:numPr>
        <w:ind w:right="6" w:hanging="360"/>
      </w:pPr>
      <w:r>
        <w:t>Mr Tucker submitted that the judge had adopted an “overly analytical” approach to the officer’s report, had</w:t>
      </w:r>
      <w:r>
        <w:rPr>
          <w:b/>
        </w:rPr>
        <w:t xml:space="preserve"> </w:t>
      </w:r>
      <w:r>
        <w:t xml:space="preserve">applied an “incorrect test”, contrary to the test of “substantial doubt” set by this court in </w:t>
      </w:r>
      <w:r>
        <w:rPr>
          <w:i/>
        </w:rPr>
        <w:t>Palmer</w:t>
      </w:r>
      <w:r>
        <w:t>, and had not recognised the committee’s own exp</w:t>
      </w:r>
      <w:r>
        <w:t xml:space="preserve">ertise and its experience of making decisions on proposals affecting heritage assets (see </w:t>
      </w:r>
      <w:r>
        <w:rPr>
          <w:i/>
        </w:rPr>
        <w:t xml:space="preserve">R. v Mendip District Council, ex </w:t>
      </w:r>
      <w:proofErr w:type="spellStart"/>
      <w:r>
        <w:rPr>
          <w:i/>
        </w:rPr>
        <w:t>parte</w:t>
      </w:r>
      <w:proofErr w:type="spellEnd"/>
      <w:r>
        <w:rPr>
          <w:i/>
        </w:rPr>
        <w:t xml:space="preserve"> Fabre</w:t>
      </w:r>
      <w:r>
        <w:t xml:space="preserve"> (2000) 80 P. &amp; C.R. 500). The omission to report the objection of the Urban Design and Heritage Conservation team was not</w:t>
      </w:r>
      <w:r>
        <w:t xml:space="preserve"> a “positive factor” capable of displacing the presumption that the section 66(1) duty had been performed. It was not clear what other factors the judge had seen as relevant “contra-indications”.   </w:t>
      </w:r>
    </w:p>
    <w:p w14:paraId="646CD93A" w14:textId="77777777" w:rsidR="002F59C1" w:rsidRDefault="00260CF3">
      <w:pPr>
        <w:spacing w:after="0" w:line="259" w:lineRule="auto"/>
        <w:ind w:left="720" w:right="0" w:firstLine="0"/>
      </w:pPr>
      <w:r>
        <w:t xml:space="preserve"> </w:t>
      </w:r>
    </w:p>
    <w:p w14:paraId="3ED679C3" w14:textId="77777777" w:rsidR="002F59C1" w:rsidRDefault="00260CF3">
      <w:pPr>
        <w:numPr>
          <w:ilvl w:val="0"/>
          <w:numId w:val="7"/>
        </w:numPr>
        <w:ind w:right="6" w:hanging="360"/>
      </w:pPr>
      <w:r>
        <w:t>I cannot accept those submissions. As Mr Westaway submi</w:t>
      </w:r>
      <w:r>
        <w:t xml:space="preserve">tted, the judge was rightly troubled by the officer’s failure to tell the committee of the “strong conservation objections” raised by the Urban Design and Heritage Conservation team to the construction of three houses in the setting of </w:t>
      </w:r>
      <w:proofErr w:type="spellStart"/>
      <w:r>
        <w:t>Beechley</w:t>
      </w:r>
      <w:proofErr w:type="spellEnd"/>
      <w:r>
        <w:t xml:space="preserve"> House, and </w:t>
      </w:r>
      <w:r>
        <w:t>right to conclude that</w:t>
      </w:r>
      <w:r>
        <w:rPr>
          <w:b/>
        </w:rPr>
        <w:t xml:space="preserve"> </w:t>
      </w:r>
      <w:r>
        <w:t xml:space="preserve">this was enough to displace the presumption that the section 66(1) duty had been properly performed.  </w:t>
      </w:r>
    </w:p>
    <w:p w14:paraId="4509F2B3" w14:textId="77777777" w:rsidR="002F59C1" w:rsidRDefault="00260CF3">
      <w:pPr>
        <w:spacing w:after="0" w:line="259" w:lineRule="auto"/>
        <w:ind w:left="720" w:right="0" w:firstLine="0"/>
      </w:pPr>
      <w:r>
        <w:t xml:space="preserve"> </w:t>
      </w:r>
    </w:p>
    <w:p w14:paraId="29B09419" w14:textId="77777777" w:rsidR="002F59C1" w:rsidRDefault="00260CF3">
      <w:pPr>
        <w:numPr>
          <w:ilvl w:val="0"/>
          <w:numId w:val="7"/>
        </w:numPr>
        <w:ind w:right="6" w:hanging="360"/>
      </w:pPr>
      <w:r>
        <w:t>I acknowledge that the Urban Design and Heritage Conservation team objected only to this element of the scheme; and that, having</w:t>
      </w:r>
      <w:r>
        <w:t xml:space="preserve"> made their observations, they recognised it was for the city council as decision-maker “to consider the public benefits of the scheme against the identified harm to the significance of the listed buildings and structures at the </w:t>
      </w:r>
      <w:proofErr w:type="spellStart"/>
      <w:r>
        <w:t>Beechley</w:t>
      </w:r>
      <w:proofErr w:type="spellEnd"/>
      <w:r>
        <w:t xml:space="preserve"> site” – an exercis</w:t>
      </w:r>
      <w:r>
        <w:t>e not within their remit. I also acknowledge that it would have been open to the Interim Head of Planning – when reporting to the Planning Committee – and to the members themselves, to differ from the opinion of the Urban Design and Heritage Conservation t</w:t>
      </w:r>
      <w:r>
        <w:t xml:space="preserve">eam, or to find that it would not be enough to justify refusing planning permission.  </w:t>
      </w:r>
    </w:p>
    <w:p w14:paraId="762E391A" w14:textId="77777777" w:rsidR="002F59C1" w:rsidRDefault="00260CF3">
      <w:pPr>
        <w:spacing w:after="0" w:line="259" w:lineRule="auto"/>
        <w:ind w:left="720" w:right="0" w:firstLine="0"/>
      </w:pPr>
      <w:r>
        <w:t xml:space="preserve"> </w:t>
      </w:r>
    </w:p>
    <w:p w14:paraId="66519939" w14:textId="77777777" w:rsidR="002F59C1" w:rsidRDefault="00260CF3">
      <w:pPr>
        <w:numPr>
          <w:ilvl w:val="0"/>
          <w:numId w:val="7"/>
        </w:numPr>
        <w:ind w:right="6" w:hanging="360"/>
      </w:pPr>
      <w:r>
        <w:t>However, this was an objection provided in response to the formal consultation of a team of professional officers employed by the city council for their expertise in t</w:t>
      </w:r>
      <w:r>
        <w:t>he conservation of heritage assets, including listed buildings and their settings. The purpose of the consultation was to draw upon that expertise so that it could assist the city council in discharging its duty under section 66(1) when making its decision</w:t>
      </w:r>
      <w:r>
        <w:t xml:space="preserve"> on the application for planning permission. This was consistent with the policy in paragraph 129 of the NPPF referring to the need for authorities to take into account “any necessary expertise”, and with the guidance in the Planning Practice Guidance stre</w:t>
      </w:r>
      <w:r>
        <w:t xml:space="preserve">ssing the value of “expert advice”, and the seeking of “[advice] … from appropriately qualified staff and experienced in-house experts …”. Omitting to take into account the response of the Urban Design and Heritage Conservation team was not only to ignore </w:t>
      </w:r>
      <w:r>
        <w:t xml:space="preserve">their objection. It was also to disregard national policy and guidance relevant to the section 66(1) duty. </w:t>
      </w:r>
    </w:p>
    <w:p w14:paraId="6370066F" w14:textId="77777777" w:rsidR="002F59C1" w:rsidRDefault="00260CF3">
      <w:pPr>
        <w:spacing w:after="0" w:line="259" w:lineRule="auto"/>
        <w:ind w:left="720" w:right="0" w:firstLine="0"/>
      </w:pPr>
      <w:r>
        <w:t xml:space="preserve"> </w:t>
      </w:r>
    </w:p>
    <w:p w14:paraId="5BB3AB49" w14:textId="77777777" w:rsidR="002F59C1" w:rsidRDefault="00260CF3">
      <w:pPr>
        <w:numPr>
          <w:ilvl w:val="0"/>
          <w:numId w:val="7"/>
        </w:numPr>
        <w:ind w:right="6" w:hanging="360"/>
      </w:pPr>
      <w:r>
        <w:t>Whether the failure to bring the objection to the attention of the members was simply an oversight or deliberate does not matter. It is the more s</w:t>
      </w:r>
      <w:r>
        <w:t xml:space="preserve">triking because the officer took care to refer in his report to three other internal consultation responses. And it was, I think, a significant omission (see </w:t>
      </w:r>
      <w:r>
        <w:rPr>
          <w:i/>
        </w:rPr>
        <w:t xml:space="preserve">Mansell v Tonbridge and </w:t>
      </w:r>
      <w:proofErr w:type="spellStart"/>
      <w:r>
        <w:rPr>
          <w:i/>
        </w:rPr>
        <w:t>Malling</w:t>
      </w:r>
      <w:proofErr w:type="spellEnd"/>
      <w:r>
        <w:rPr>
          <w:i/>
        </w:rPr>
        <w:t xml:space="preserve"> Borough Council</w:t>
      </w:r>
      <w:r>
        <w:t xml:space="preserve"> [2019] </w:t>
      </w:r>
    </w:p>
    <w:p w14:paraId="16BEFCFE" w14:textId="77777777" w:rsidR="002F59C1" w:rsidRDefault="00260CF3">
      <w:pPr>
        <w:ind w:left="720" w:right="6" w:firstLine="0"/>
      </w:pPr>
      <w:r>
        <w:t>P.T.S.R. 1452, at paragraph 42(3)). This w</w:t>
      </w:r>
      <w:r>
        <w:t>as not a perfunctory response to consultation. It was a detailed and carefully considered assessment of the effects the development would have on the listed buildings and their settings. It differed from the assessment presented to the committee by the Int</w:t>
      </w:r>
      <w:r>
        <w:t xml:space="preserve">erim Head of Planning, and in a significant way. It articulated “strong conservation objections” to the proposed construction of three houses within the setting of </w:t>
      </w:r>
      <w:proofErr w:type="spellStart"/>
      <w:r>
        <w:t>Beechley</w:t>
      </w:r>
      <w:proofErr w:type="spellEnd"/>
      <w:r>
        <w:t xml:space="preserve"> House. That the Interim Head of Planning himself acknowledged there would be some h</w:t>
      </w:r>
      <w:r>
        <w:t>arm to the setting of the listed building does not overcome the omission. The fact remains that the city council’s own conservation officers had expressed a firm objection, which was neither confronted nor even noted in the officer’s report or in debate at</w:t>
      </w:r>
      <w:r>
        <w:t xml:space="preserve"> the committee meeting.   </w:t>
      </w:r>
    </w:p>
    <w:p w14:paraId="37FC5E36" w14:textId="77777777" w:rsidR="002F59C1" w:rsidRDefault="00260CF3">
      <w:pPr>
        <w:spacing w:after="0" w:line="259" w:lineRule="auto"/>
        <w:ind w:left="720" w:right="0" w:firstLine="0"/>
      </w:pPr>
      <w:r>
        <w:t xml:space="preserve"> </w:t>
      </w:r>
    </w:p>
    <w:p w14:paraId="67B71176" w14:textId="77777777" w:rsidR="002F59C1" w:rsidRDefault="00260CF3">
      <w:pPr>
        <w:numPr>
          <w:ilvl w:val="0"/>
          <w:numId w:val="7"/>
        </w:numPr>
        <w:ind w:right="6" w:hanging="360"/>
      </w:pPr>
      <w:r>
        <w:t xml:space="preserve">In my view, that objection – both the fact of it and its substance – was, in the circumstances, an “obviously material” consideration of the kind referred to in </w:t>
      </w:r>
      <w:r>
        <w:rPr>
          <w:i/>
        </w:rPr>
        <w:t>In re Findlay</w:t>
      </w:r>
      <w:r>
        <w:t xml:space="preserve"> [1985] A.C. 318 (see the speech of Lord Scarman at p</w:t>
      </w:r>
      <w:r>
        <w:t xml:space="preserve">p.333 and 334; and also the judgment of Glidewell L.J. in </w:t>
      </w:r>
      <w:r>
        <w:rPr>
          <w:i/>
        </w:rPr>
        <w:t>Bolton Metropolitan Borough Council v Secretary of State for the Environment and Greater Manchester Waste Disposal Authority</w:t>
      </w:r>
      <w:r>
        <w:t xml:space="preserve"> (1991) 61 P. &amp; C.R. 343, at p.352). Quite apart from the section 66(1) du</w:t>
      </w:r>
      <w:r>
        <w:t xml:space="preserve">ty, this was a matter to which the city council had to have regard in reaching its decision on the application for planning permission, giving it such weight as it saw fit. It could have made a difference to the outcome. But it was overlooked. That was an </w:t>
      </w:r>
      <w:r>
        <w:t xml:space="preserve">error of law.  </w:t>
      </w:r>
    </w:p>
    <w:p w14:paraId="7525BF85" w14:textId="77777777" w:rsidR="002F59C1" w:rsidRDefault="00260CF3">
      <w:pPr>
        <w:spacing w:after="0" w:line="259" w:lineRule="auto"/>
        <w:ind w:left="720" w:right="0" w:firstLine="0"/>
      </w:pPr>
      <w:r>
        <w:t xml:space="preserve"> </w:t>
      </w:r>
    </w:p>
    <w:p w14:paraId="4431417C" w14:textId="77777777" w:rsidR="002F59C1" w:rsidRDefault="00260CF3">
      <w:pPr>
        <w:numPr>
          <w:ilvl w:val="0"/>
          <w:numId w:val="7"/>
        </w:numPr>
        <w:ind w:right="6" w:hanging="360"/>
      </w:pPr>
      <w:r>
        <w:t xml:space="preserve">There is some similarity here with the circumstances in </w:t>
      </w:r>
      <w:r>
        <w:rPr>
          <w:i/>
        </w:rPr>
        <w:t>R. (on the application of Loader v Rother District Council</w:t>
      </w:r>
      <w:r>
        <w:t xml:space="preserve"> [2016] EWCA </w:t>
      </w:r>
      <w:proofErr w:type="spellStart"/>
      <w:r>
        <w:t>Civ</w:t>
      </w:r>
      <w:proofErr w:type="spellEnd"/>
      <w:r>
        <w:t xml:space="preserve"> 795. In that case the proposed development was in the setting of a grade II listed Victorian terrace. The o</w:t>
      </w:r>
      <w:r>
        <w:t>fficer’s report had indicated that the Victorian Society, which had objected to a previous application, had made no comments on the new proposal. In fact, they had not been consulted. The appellant argued that the committee might have been left, wrongly, w</w:t>
      </w:r>
      <w:r>
        <w:t>ith the impression that the Victorian Society were now satisfied with the revised design. This court accepted that “[in] the context of the duty [in section 66(1)], … in taking this misinformation into account, [the committee] could be said to have proceed</w:t>
      </w:r>
      <w:r>
        <w:t xml:space="preserve">ed on the basis of an error of fact”, but that “the unlawfulness [was] better described as the taking into account of an immaterial consideration” (paragraph 57). This was enough to justify quashing the planning permission (paragraph 58).   </w:t>
      </w:r>
    </w:p>
    <w:p w14:paraId="30AA08BD" w14:textId="77777777" w:rsidR="002F59C1" w:rsidRDefault="00260CF3">
      <w:pPr>
        <w:spacing w:after="0" w:line="259" w:lineRule="auto"/>
        <w:ind w:left="720" w:right="0" w:firstLine="0"/>
      </w:pPr>
      <w:r>
        <w:t xml:space="preserve"> </w:t>
      </w:r>
    </w:p>
    <w:p w14:paraId="061E1A92" w14:textId="77777777" w:rsidR="002F59C1" w:rsidRDefault="00260CF3">
      <w:pPr>
        <w:numPr>
          <w:ilvl w:val="0"/>
          <w:numId w:val="7"/>
        </w:numPr>
        <w:ind w:right="6" w:hanging="360"/>
      </w:pPr>
      <w:r>
        <w:t>The error in</w:t>
      </w:r>
      <w:r>
        <w:t xml:space="preserve"> this case was not the same as in </w:t>
      </w:r>
      <w:r>
        <w:rPr>
          <w:i/>
        </w:rPr>
        <w:t>Loader</w:t>
      </w:r>
      <w:r>
        <w:t xml:space="preserve">. Its potential effect, however, was no less significant. As in </w:t>
      </w:r>
      <w:r>
        <w:rPr>
          <w:i/>
        </w:rPr>
        <w:t>Loader</w:t>
      </w:r>
      <w:r>
        <w:t>, it was liable – seriously, though innocently – to mislead the members when making their decision. It implied the absence of objection from a con</w:t>
      </w:r>
      <w:r>
        <w:t xml:space="preserve">sultee with specific responsibility for the conservation of heritage assets: in </w:t>
      </w:r>
      <w:r>
        <w:rPr>
          <w:i/>
        </w:rPr>
        <w:t>Loader</w:t>
      </w:r>
      <w:r>
        <w:t xml:space="preserve"> a national amenity society; here the city council’s own “experienced in-house experts”. In that case, it was not known what the Victorian Society would have said had the</w:t>
      </w:r>
      <w:r>
        <w:t>y been consulted. They might have said nothing. Here, however, the court knows there was an objection from the city council’s Urban Design and Heritage Conservation team, which was not dealt with by the officer in his advice to the Planning Committee or gr</w:t>
      </w:r>
      <w:r>
        <w:t xml:space="preserve">appled with by the members. </w:t>
      </w:r>
      <w:r>
        <w:rPr>
          <w:i/>
        </w:rPr>
        <w:t xml:space="preserve"> </w:t>
      </w:r>
    </w:p>
    <w:p w14:paraId="4BEE19B2" w14:textId="77777777" w:rsidR="002F59C1" w:rsidRDefault="00260CF3">
      <w:pPr>
        <w:spacing w:after="0" w:line="259" w:lineRule="auto"/>
        <w:ind w:left="720" w:right="0" w:firstLine="0"/>
      </w:pPr>
      <w:r>
        <w:rPr>
          <w:i/>
        </w:rPr>
        <w:t xml:space="preserve"> </w:t>
      </w:r>
    </w:p>
    <w:p w14:paraId="085CA685" w14:textId="77777777" w:rsidR="002F59C1" w:rsidRDefault="00260CF3">
      <w:pPr>
        <w:numPr>
          <w:ilvl w:val="0"/>
          <w:numId w:val="7"/>
        </w:numPr>
        <w:ind w:right="6" w:hanging="360"/>
      </w:pPr>
      <w:r>
        <w:t>The error was not merely a failure to have regard to a material consideration. It was also a significant default in the city council’s performance of its duty under section 66(1). It indicates that despite the reference made</w:t>
      </w:r>
      <w:r>
        <w:t xml:space="preserve"> in the officer’s report to the statutory duty, the policies in paragraphs 132 and 134 of the NPPF and Policy HD5 of the UDP, the duty to have “special regard” to the desirability of preserving the setting of the listed building was not complied with. Even</w:t>
      </w:r>
      <w:r>
        <w:t xml:space="preserve"> if one could excuse the other shortcomings to which the judge referred – including the “unweighted formulation of the balancing exercise” in the officer’s assessment – I think this would be a sufficiently powerful “contra-indication” on its own to displac</w:t>
      </w:r>
      <w:r>
        <w:t>e the presumption that the section 66(1) duty was discharged. For this reason, like the judge, I am left in “substantial doubt” that the duty was performed.</w:t>
      </w:r>
      <w:r>
        <w:rPr>
          <w:i/>
        </w:rPr>
        <w:t xml:space="preserve"> </w:t>
      </w:r>
    </w:p>
    <w:p w14:paraId="656D0286" w14:textId="77777777" w:rsidR="002F59C1" w:rsidRDefault="00260CF3">
      <w:pPr>
        <w:spacing w:after="0" w:line="259" w:lineRule="auto"/>
        <w:ind w:left="720" w:right="0" w:firstLine="0"/>
      </w:pPr>
      <w:r>
        <w:rPr>
          <w:i/>
        </w:rPr>
        <w:t xml:space="preserve"> </w:t>
      </w:r>
    </w:p>
    <w:p w14:paraId="2206B017" w14:textId="77777777" w:rsidR="002F59C1" w:rsidRDefault="00260CF3">
      <w:pPr>
        <w:numPr>
          <w:ilvl w:val="0"/>
          <w:numId w:val="7"/>
        </w:numPr>
        <w:ind w:right="6" w:hanging="360"/>
      </w:pPr>
      <w:r>
        <w:t>This “substantial doubt” is only strengthened by the absence, at least from the section of the officer’s report in which his assessment is set out, of any steer to the members that a finding of harm to the setting of the listed building was a consideration</w:t>
      </w:r>
      <w:r>
        <w:t xml:space="preserve"> to which they must give “considerable importance and weight”. I think the judge’s conclusions here were right.</w:t>
      </w:r>
      <w:r>
        <w:rPr>
          <w:i/>
        </w:rPr>
        <w:t xml:space="preserve"> </w:t>
      </w:r>
    </w:p>
    <w:p w14:paraId="759E1AEC" w14:textId="77777777" w:rsidR="002F59C1" w:rsidRDefault="00260CF3">
      <w:pPr>
        <w:spacing w:after="0" w:line="259" w:lineRule="auto"/>
        <w:ind w:left="720" w:right="0" w:firstLine="0"/>
      </w:pPr>
      <w:r>
        <w:rPr>
          <w:i/>
        </w:rPr>
        <w:t xml:space="preserve"> </w:t>
      </w:r>
    </w:p>
    <w:p w14:paraId="4D7BD542" w14:textId="77777777" w:rsidR="002F59C1" w:rsidRDefault="00260CF3">
      <w:pPr>
        <w:numPr>
          <w:ilvl w:val="0"/>
          <w:numId w:val="7"/>
        </w:numPr>
        <w:ind w:right="6" w:hanging="360"/>
      </w:pPr>
      <w:r>
        <w:t>I also agree with the judge that the court is not in a position to conclude, under section 31(2A) of the Senior Courts Act, that it is “highl</w:t>
      </w:r>
      <w:r>
        <w:t>y likely that the outcome … would not have been substantially different” if the section 66(1) duty had been complied with, and the Planning Committee, when performing that duty, had considered the objection of the Urban Design and Heritage Conservation tea</w:t>
      </w:r>
      <w:r>
        <w:t>m, giving it appropriate weight.</w:t>
      </w:r>
      <w:r>
        <w:rPr>
          <w:i/>
        </w:rPr>
        <w:t xml:space="preserve"> </w:t>
      </w:r>
    </w:p>
    <w:p w14:paraId="22B112D4" w14:textId="77777777" w:rsidR="002F59C1" w:rsidRDefault="00260CF3">
      <w:pPr>
        <w:spacing w:after="0" w:line="259" w:lineRule="auto"/>
        <w:ind w:left="720" w:right="0" w:firstLine="0"/>
      </w:pPr>
      <w:r>
        <w:t xml:space="preserve"> </w:t>
      </w:r>
    </w:p>
    <w:p w14:paraId="7E2C1E49" w14:textId="77777777" w:rsidR="002F59C1" w:rsidRDefault="00260CF3">
      <w:pPr>
        <w:numPr>
          <w:ilvl w:val="0"/>
          <w:numId w:val="7"/>
        </w:numPr>
        <w:ind w:right="6" w:hanging="360"/>
      </w:pPr>
      <w:r>
        <w:t xml:space="preserve">In my view therefore, on this ground Kerr J. was right to uphold the challenge to the planning permission for Redrow’s proposal.   </w:t>
      </w:r>
      <w:r>
        <w:rPr>
          <w:i/>
        </w:rPr>
        <w:t xml:space="preserve"> </w:t>
      </w:r>
    </w:p>
    <w:p w14:paraId="7D92DD76" w14:textId="77777777" w:rsidR="002F59C1" w:rsidRDefault="00260CF3">
      <w:pPr>
        <w:spacing w:after="0" w:line="259" w:lineRule="auto"/>
        <w:ind w:left="0" w:right="0" w:firstLine="0"/>
      </w:pPr>
      <w:r>
        <w:rPr>
          <w:i/>
        </w:rPr>
        <w:t xml:space="preserve"> </w:t>
      </w:r>
    </w:p>
    <w:p w14:paraId="0646FD51" w14:textId="77777777" w:rsidR="002F59C1" w:rsidRDefault="00260CF3">
      <w:pPr>
        <w:spacing w:after="0" w:line="259" w:lineRule="auto"/>
        <w:ind w:left="0" w:right="0" w:firstLine="0"/>
      </w:pPr>
      <w:r>
        <w:rPr>
          <w:i/>
        </w:rPr>
        <w:t xml:space="preserve"> </w:t>
      </w:r>
    </w:p>
    <w:p w14:paraId="6C70D33B" w14:textId="77777777" w:rsidR="002F59C1" w:rsidRDefault="00260CF3">
      <w:pPr>
        <w:pStyle w:val="Heading2"/>
        <w:ind w:left="355"/>
      </w:pPr>
      <w:r>
        <w:t>Conclusion</w:t>
      </w:r>
      <w:r>
        <w:rPr>
          <w:i w:val="0"/>
        </w:rPr>
        <w:t xml:space="preserve"> </w:t>
      </w:r>
    </w:p>
    <w:p w14:paraId="3F647139" w14:textId="77777777" w:rsidR="002F59C1" w:rsidRDefault="00260CF3">
      <w:pPr>
        <w:spacing w:after="0" w:line="259" w:lineRule="auto"/>
        <w:ind w:left="720" w:right="0" w:firstLine="0"/>
      </w:pPr>
      <w:r>
        <w:t xml:space="preserve"> </w:t>
      </w:r>
    </w:p>
    <w:p w14:paraId="0B587C0A" w14:textId="77777777" w:rsidR="002F59C1" w:rsidRDefault="00260CF3">
      <w:pPr>
        <w:numPr>
          <w:ilvl w:val="0"/>
          <w:numId w:val="8"/>
        </w:numPr>
        <w:ind w:right="6" w:hanging="360"/>
      </w:pPr>
      <w:r>
        <w:t>For the reasons I have given, I would allow the appeal only in so far</w:t>
      </w:r>
      <w:r>
        <w:t xml:space="preserve"> as it seeks to overturn the judge’s order quashing the planning permission for the relocation of the miniature railway, otherwise dismiss it, and not disturb the order quashing the permission for the development proposed by Redrow.  </w:t>
      </w:r>
    </w:p>
    <w:p w14:paraId="5C9B476D" w14:textId="77777777" w:rsidR="002F59C1" w:rsidRDefault="00260CF3">
      <w:pPr>
        <w:spacing w:after="0" w:line="259" w:lineRule="auto"/>
        <w:ind w:left="720" w:right="0" w:firstLine="0"/>
      </w:pPr>
      <w:r>
        <w:t xml:space="preserve">  </w:t>
      </w:r>
    </w:p>
    <w:p w14:paraId="4C0FF87D" w14:textId="77777777" w:rsidR="002F59C1" w:rsidRDefault="00260CF3">
      <w:pPr>
        <w:spacing w:after="0" w:line="259" w:lineRule="auto"/>
        <w:ind w:left="0" w:right="0" w:firstLine="0"/>
      </w:pPr>
      <w:r>
        <w:rPr>
          <w:b/>
        </w:rPr>
        <w:t xml:space="preserve"> </w:t>
      </w:r>
    </w:p>
    <w:p w14:paraId="1BBCAFB9" w14:textId="77777777" w:rsidR="002F59C1" w:rsidRDefault="00260CF3">
      <w:pPr>
        <w:spacing w:after="15" w:line="249" w:lineRule="auto"/>
        <w:ind w:right="0" w:hanging="10"/>
      </w:pPr>
      <w:r>
        <w:rPr>
          <w:b/>
        </w:rPr>
        <w:t>Lord Justice Newey</w:t>
      </w:r>
      <w:r>
        <w:t xml:space="preserve"> </w:t>
      </w:r>
    </w:p>
    <w:p w14:paraId="30AE1DA8" w14:textId="77777777" w:rsidR="002F59C1" w:rsidRDefault="00260CF3">
      <w:pPr>
        <w:spacing w:after="0" w:line="259" w:lineRule="auto"/>
        <w:ind w:left="720" w:right="0" w:firstLine="0"/>
      </w:pPr>
      <w:r>
        <w:t xml:space="preserve"> </w:t>
      </w:r>
    </w:p>
    <w:p w14:paraId="22B47A85" w14:textId="77777777" w:rsidR="002F59C1" w:rsidRDefault="00260CF3">
      <w:pPr>
        <w:numPr>
          <w:ilvl w:val="0"/>
          <w:numId w:val="8"/>
        </w:numPr>
        <w:ind w:right="6" w:hanging="360"/>
      </w:pPr>
      <w:r>
        <w:t xml:space="preserve">I agree. </w:t>
      </w:r>
    </w:p>
    <w:p w14:paraId="00CCF48C" w14:textId="77777777" w:rsidR="002F59C1" w:rsidRDefault="00260CF3">
      <w:pPr>
        <w:spacing w:after="0" w:line="259" w:lineRule="auto"/>
        <w:ind w:left="720" w:right="0" w:firstLine="0"/>
      </w:pPr>
      <w:r>
        <w:rPr>
          <w:b/>
        </w:rPr>
        <w:t xml:space="preserve"> </w:t>
      </w:r>
    </w:p>
    <w:p w14:paraId="51CE4320" w14:textId="77777777" w:rsidR="002F59C1" w:rsidRDefault="00260CF3">
      <w:pPr>
        <w:spacing w:after="0" w:line="259" w:lineRule="auto"/>
        <w:ind w:left="360" w:right="0" w:firstLine="0"/>
      </w:pPr>
      <w:r>
        <w:rPr>
          <w:b/>
        </w:rPr>
        <w:t xml:space="preserve"> </w:t>
      </w:r>
    </w:p>
    <w:p w14:paraId="70F1F92A" w14:textId="77777777" w:rsidR="002F59C1" w:rsidRDefault="00260CF3">
      <w:pPr>
        <w:spacing w:after="15" w:line="249" w:lineRule="auto"/>
        <w:ind w:right="0" w:hanging="10"/>
      </w:pPr>
      <w:r>
        <w:rPr>
          <w:b/>
        </w:rPr>
        <w:t xml:space="preserve">Lady Justice Rafferty </w:t>
      </w:r>
      <w:r>
        <w:t xml:space="preserve"> </w:t>
      </w:r>
    </w:p>
    <w:p w14:paraId="0DF0C40F" w14:textId="77777777" w:rsidR="002F59C1" w:rsidRDefault="00260CF3">
      <w:pPr>
        <w:spacing w:after="0" w:line="259" w:lineRule="auto"/>
        <w:ind w:left="720" w:right="0" w:firstLine="0"/>
      </w:pPr>
      <w:r>
        <w:t xml:space="preserve"> </w:t>
      </w:r>
    </w:p>
    <w:p w14:paraId="689E3A67" w14:textId="77777777" w:rsidR="002F59C1" w:rsidRDefault="00260CF3">
      <w:pPr>
        <w:numPr>
          <w:ilvl w:val="0"/>
          <w:numId w:val="8"/>
        </w:numPr>
        <w:ind w:right="6" w:hanging="360"/>
      </w:pPr>
      <w:r>
        <w:t xml:space="preserve">I also agree.  </w:t>
      </w:r>
    </w:p>
    <w:p w14:paraId="19338226" w14:textId="77777777" w:rsidR="002F59C1" w:rsidRDefault="00260CF3">
      <w:pPr>
        <w:spacing w:after="0" w:line="259" w:lineRule="auto"/>
        <w:ind w:left="720" w:right="0" w:firstLine="0"/>
      </w:pPr>
      <w:r>
        <w:t xml:space="preserve"> </w:t>
      </w:r>
    </w:p>
    <w:sectPr w:rsidR="002F59C1">
      <w:type w:val="continuous"/>
      <w:pgSz w:w="11904" w:h="16838"/>
      <w:pgMar w:top="1494" w:right="1434" w:bottom="708"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F2BBE" w14:textId="77777777" w:rsidR="00260CF3" w:rsidRDefault="00260CF3">
      <w:pPr>
        <w:spacing w:after="0" w:line="240" w:lineRule="auto"/>
      </w:pPr>
      <w:r>
        <w:separator/>
      </w:r>
    </w:p>
  </w:endnote>
  <w:endnote w:type="continuationSeparator" w:id="0">
    <w:p w14:paraId="554373A5" w14:textId="77777777" w:rsidR="00260CF3" w:rsidRDefault="0026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466E5" w14:textId="77777777" w:rsidR="00260CF3" w:rsidRDefault="00260CF3">
      <w:pPr>
        <w:spacing w:after="0" w:line="240" w:lineRule="auto"/>
      </w:pPr>
      <w:r>
        <w:separator/>
      </w:r>
    </w:p>
  </w:footnote>
  <w:footnote w:type="continuationSeparator" w:id="0">
    <w:p w14:paraId="2F6C2EC6" w14:textId="77777777" w:rsidR="00260CF3" w:rsidRDefault="00260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4815F" w14:textId="77777777" w:rsidR="002F59C1" w:rsidRDefault="002F59C1">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E70FC" w14:textId="77777777" w:rsidR="002F59C1" w:rsidRDefault="002F59C1">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0DEE3" w14:textId="77777777" w:rsidR="002F59C1" w:rsidRDefault="002F59C1">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FDB74" w14:textId="77777777" w:rsidR="002F59C1" w:rsidRDefault="00260CF3">
    <w:pPr>
      <w:spacing w:after="56" w:line="271" w:lineRule="auto"/>
      <w:ind w:left="0" w:right="-4972" w:firstLine="0"/>
    </w:pPr>
    <w:r>
      <w:rPr>
        <w:b/>
        <w:sz w:val="16"/>
        <w:u w:val="single" w:color="000000"/>
      </w:rPr>
      <w:t>Judgment Approved by the court for handing down</w:t>
    </w:r>
    <w:r>
      <w:rPr>
        <w:b/>
        <w:sz w:val="16"/>
      </w:rPr>
      <w:t xml:space="preserve"> </w:t>
    </w:r>
    <w:r>
      <w:rPr>
        <w:b/>
        <w:sz w:val="16"/>
      </w:rPr>
      <w:tab/>
    </w:r>
    <w:r>
      <w:rPr>
        <w:sz w:val="16"/>
      </w:rPr>
      <w:t xml:space="preserve">R. (on the application of Liverpool Open and Green Spaces </w:t>
    </w:r>
    <w:r>
      <w:rPr>
        <w:b/>
        <w:sz w:val="16"/>
        <w:u w:val="single" w:color="000000"/>
      </w:rPr>
      <w:t>(subject to editorial corrections)</w:t>
    </w:r>
    <w:r>
      <w:rPr>
        <w:b/>
        <w:sz w:val="16"/>
      </w:rPr>
      <w:t xml:space="preserve"> </w:t>
    </w:r>
    <w:r>
      <w:rPr>
        <w:b/>
        <w:sz w:val="16"/>
      </w:rPr>
      <w:tab/>
    </w:r>
    <w:r>
      <w:rPr>
        <w:sz w:val="16"/>
      </w:rPr>
      <w:t xml:space="preserve">Community Interested Company) v Liverpool City Council </w:t>
    </w:r>
  </w:p>
  <w:p w14:paraId="4F62E4D4" w14:textId="77777777" w:rsidR="002F59C1" w:rsidRDefault="00260CF3">
    <w:pPr>
      <w:spacing w:after="0" w:line="259" w:lineRule="auto"/>
      <w:ind w:left="0" w:right="0" w:firstLine="0"/>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AEF3B" w14:textId="77777777" w:rsidR="002F59C1" w:rsidRDefault="00260CF3">
    <w:pPr>
      <w:spacing w:after="56" w:line="271" w:lineRule="auto"/>
      <w:ind w:left="0" w:right="-4972" w:firstLine="0"/>
    </w:pPr>
    <w:r>
      <w:rPr>
        <w:b/>
        <w:sz w:val="16"/>
        <w:u w:val="single" w:color="000000"/>
      </w:rPr>
      <w:t>Judgment Approved by the court for handing down</w:t>
    </w:r>
    <w:r>
      <w:rPr>
        <w:b/>
        <w:sz w:val="16"/>
      </w:rPr>
      <w:t xml:space="preserve"> </w:t>
    </w:r>
    <w:r>
      <w:rPr>
        <w:b/>
        <w:sz w:val="16"/>
      </w:rPr>
      <w:tab/>
    </w:r>
    <w:r>
      <w:rPr>
        <w:sz w:val="16"/>
      </w:rPr>
      <w:t>R. (o</w:t>
    </w:r>
    <w:r>
      <w:rPr>
        <w:sz w:val="16"/>
      </w:rPr>
      <w:t xml:space="preserve">n the application of Liverpool Open and Green Spaces </w:t>
    </w:r>
    <w:r>
      <w:rPr>
        <w:b/>
        <w:sz w:val="16"/>
        <w:u w:val="single" w:color="000000"/>
      </w:rPr>
      <w:t>(subject to editorial corrections)</w:t>
    </w:r>
    <w:r>
      <w:rPr>
        <w:b/>
        <w:sz w:val="16"/>
      </w:rPr>
      <w:t xml:space="preserve"> </w:t>
    </w:r>
    <w:r>
      <w:rPr>
        <w:b/>
        <w:sz w:val="16"/>
      </w:rPr>
      <w:tab/>
    </w:r>
    <w:r>
      <w:rPr>
        <w:sz w:val="16"/>
      </w:rPr>
      <w:t xml:space="preserve">Community Interested Company) v Liverpool City Council </w:t>
    </w:r>
  </w:p>
  <w:p w14:paraId="14686076" w14:textId="77777777" w:rsidR="002F59C1" w:rsidRDefault="00260CF3">
    <w:pPr>
      <w:spacing w:after="0" w:line="259" w:lineRule="auto"/>
      <w:ind w:left="0" w:right="0" w:firstLine="0"/>
    </w:pP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C5E19" w14:textId="77777777" w:rsidR="002F59C1" w:rsidRDefault="002F59C1">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1738"/>
    <w:multiLevelType w:val="hybridMultilevel"/>
    <w:tmpl w:val="E79868B0"/>
    <w:lvl w:ilvl="0" w:tplc="C3E22DC6">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7C4D1E">
      <w:start w:val="1"/>
      <w:numFmt w:val="bullet"/>
      <w:lvlText w:val="o"/>
      <w:lvlJc w:val="left"/>
      <w:pPr>
        <w:ind w:left="23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829D86">
      <w:start w:val="1"/>
      <w:numFmt w:val="bullet"/>
      <w:lvlRestart w:val="0"/>
      <w:lvlText w:val="-"/>
      <w:lvlJc w:val="left"/>
      <w:pPr>
        <w:ind w:left="28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474FE5E">
      <w:start w:val="1"/>
      <w:numFmt w:val="bullet"/>
      <w:lvlText w:val="•"/>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963E2C">
      <w:start w:val="1"/>
      <w:numFmt w:val="bullet"/>
      <w:lvlText w:val="o"/>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CAB104">
      <w:start w:val="1"/>
      <w:numFmt w:val="bullet"/>
      <w:lvlText w:val="▪"/>
      <w:lvlJc w:val="left"/>
      <w:pPr>
        <w:ind w:left="6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22733C">
      <w:start w:val="1"/>
      <w:numFmt w:val="bullet"/>
      <w:lvlText w:val="•"/>
      <w:lvlJc w:val="left"/>
      <w:pPr>
        <w:ind w:left="72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9C5F54">
      <w:start w:val="1"/>
      <w:numFmt w:val="bullet"/>
      <w:lvlText w:val="o"/>
      <w:lvlJc w:val="left"/>
      <w:pPr>
        <w:ind w:left="79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826074">
      <w:start w:val="1"/>
      <w:numFmt w:val="bullet"/>
      <w:lvlText w:val="▪"/>
      <w:lvlJc w:val="left"/>
      <w:pPr>
        <w:ind w:left="87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B73B1D"/>
    <w:multiLevelType w:val="hybridMultilevel"/>
    <w:tmpl w:val="21284520"/>
    <w:lvl w:ilvl="0" w:tplc="3D569C2C">
      <w:start w:val="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82BD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2284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860E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0394E">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E07BF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E403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A085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EA22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D470F0"/>
    <w:multiLevelType w:val="hybridMultilevel"/>
    <w:tmpl w:val="FB9E6C38"/>
    <w:lvl w:ilvl="0" w:tplc="0990199E">
      <w:start w:val="1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E4D79A">
      <w:start w:val="1"/>
      <w:numFmt w:val="lowerRoman"/>
      <w:lvlText w:val="%2"/>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888EA">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0E4CFC">
      <w:start w:val="1"/>
      <w:numFmt w:val="bullet"/>
      <w:lvlText w:val="•"/>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F4E5D2">
      <w:start w:val="1"/>
      <w:numFmt w:val="bullet"/>
      <w:lvlText w:val="o"/>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F44AE8">
      <w:start w:val="1"/>
      <w:numFmt w:val="bullet"/>
      <w:lvlText w:val="▪"/>
      <w:lvlJc w:val="left"/>
      <w:pPr>
        <w:ind w:left="4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A8D1A8">
      <w:start w:val="1"/>
      <w:numFmt w:val="bullet"/>
      <w:lvlText w:val="•"/>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48134">
      <w:start w:val="1"/>
      <w:numFmt w:val="bullet"/>
      <w:lvlText w:val="o"/>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2882F8">
      <w:start w:val="1"/>
      <w:numFmt w:val="bullet"/>
      <w:lvlText w:val="▪"/>
      <w:lvlJc w:val="left"/>
      <w:pPr>
        <w:ind w:left="6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FC6CDD"/>
    <w:multiLevelType w:val="hybridMultilevel"/>
    <w:tmpl w:val="3B964A40"/>
    <w:lvl w:ilvl="0" w:tplc="073834EC">
      <w:start w:val="85"/>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C6DF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4C29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261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A11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009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88F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E6C8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1CA6B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223883"/>
    <w:multiLevelType w:val="hybridMultilevel"/>
    <w:tmpl w:val="9072EA9A"/>
    <w:lvl w:ilvl="0" w:tplc="A760BB7A">
      <w:start w:val="1"/>
      <w:numFmt w:val="decimal"/>
      <w:lvlText w:val="%1."/>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02E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67A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0D1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B4B9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2E89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623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C48C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8C3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B66B45"/>
    <w:multiLevelType w:val="hybridMultilevel"/>
    <w:tmpl w:val="200824A4"/>
    <w:lvl w:ilvl="0" w:tplc="35266642">
      <w:start w:val="1"/>
      <w:numFmt w:val="decimal"/>
      <w:lvlText w:val="(%1)"/>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305400">
      <w:start w:val="1"/>
      <w:numFmt w:val="bullet"/>
      <w:lvlText w:val="-"/>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0E9472">
      <w:start w:val="1"/>
      <w:numFmt w:val="bullet"/>
      <w:lvlText w:val="▪"/>
      <w:lvlJc w:val="left"/>
      <w:pPr>
        <w:ind w:left="4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5A3894">
      <w:start w:val="1"/>
      <w:numFmt w:val="bullet"/>
      <w:lvlText w:val="•"/>
      <w:lvlJc w:val="left"/>
      <w:pPr>
        <w:ind w:left="4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D65C0C">
      <w:start w:val="1"/>
      <w:numFmt w:val="bullet"/>
      <w:lvlText w:val="o"/>
      <w:lvlJc w:val="left"/>
      <w:pPr>
        <w:ind w:left="5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9850CA">
      <w:start w:val="1"/>
      <w:numFmt w:val="bullet"/>
      <w:lvlText w:val="▪"/>
      <w:lvlJc w:val="left"/>
      <w:pPr>
        <w:ind w:left="6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A1134">
      <w:start w:val="1"/>
      <w:numFmt w:val="bullet"/>
      <w:lvlText w:val="•"/>
      <w:lvlJc w:val="left"/>
      <w:pPr>
        <w:ind w:left="7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499C6">
      <w:start w:val="1"/>
      <w:numFmt w:val="bullet"/>
      <w:lvlText w:val="o"/>
      <w:lvlJc w:val="left"/>
      <w:pPr>
        <w:ind w:left="7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ACAEF2">
      <w:start w:val="1"/>
      <w:numFmt w:val="bullet"/>
      <w:lvlText w:val="▪"/>
      <w:lvlJc w:val="left"/>
      <w:pPr>
        <w:ind w:left="8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E01634"/>
    <w:multiLevelType w:val="hybridMultilevel"/>
    <w:tmpl w:val="214A7D64"/>
    <w:lvl w:ilvl="0" w:tplc="C4EE6B40">
      <w:start w:val="27"/>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01C7A">
      <w:start w:val="1"/>
      <w:numFmt w:val="decimal"/>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A2D6FC">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245E6">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8360E">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FEB23C">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6E7DF2">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8E44A">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C68EE">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E015C3"/>
    <w:multiLevelType w:val="hybridMultilevel"/>
    <w:tmpl w:val="2994713E"/>
    <w:lvl w:ilvl="0" w:tplc="D88E5DE6">
      <w:start w:val="6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E448C">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E125E">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60602">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0E3856">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AAE36">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EAFEEE">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A8D2C">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8EEC3E">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4"/>
  </w:num>
  <w:num w:numId="4">
    <w:abstractNumId w:val="1"/>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C1"/>
    <w:rsid w:val="001F3F25"/>
    <w:rsid w:val="00260CF3"/>
    <w:rsid w:val="002F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05B0"/>
  <w15:docId w15:val="{D172A937-E81B-4725-934A-4FF51948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370" w:right="62" w:hanging="37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right"/>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11710</Words>
  <Characters>66749</Characters>
  <Application>Microsoft Office Word</Application>
  <DocSecurity>0</DocSecurity>
  <Lines>556</Lines>
  <Paragraphs>156</Paragraphs>
  <ScaleCrop>false</ScaleCrop>
  <Company/>
  <LinksUpToDate>false</LinksUpToDate>
  <CharactersWithSpaces>78303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icp90h</dc:creator>
  <cp:keywords/>
  <cp:lastModifiedBy>Eileen</cp:lastModifiedBy>
  <cp:revision>2</cp:revision>
  <dcterms:created xsi:type="dcterms:W3CDTF">2020-07-10T12:01:00Z</dcterms:created>
  <dcterms:modified xsi:type="dcterms:W3CDTF">2020-07-10T12:01:00Z</dcterms:modified>
</cp:coreProperties>
</file>